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3073" w14:textId="1DA0BAD3" w:rsidR="00647BB2" w:rsidRDefault="00647BB2" w:rsidP="00DB687F">
      <w:pPr>
        <w:jc w:val="center"/>
        <w:rPr>
          <w:rFonts w:ascii="ＭＳ ゴシック" w:hAnsi="ＭＳ ゴシック"/>
          <w:b/>
          <w:bCs/>
        </w:rPr>
      </w:pPr>
      <w:r w:rsidRPr="00647BB2">
        <w:rPr>
          <w:rFonts w:ascii="ＭＳ ゴシック" w:hAnsi="ＭＳ ゴシック" w:hint="eastAsia"/>
          <w:b/>
          <w:bCs/>
        </w:rPr>
        <w:t>「判例</w:t>
      </w:r>
      <w:r>
        <w:rPr>
          <w:rFonts w:ascii="ＭＳ ゴシック" w:hAnsi="ＭＳ ゴシック" w:hint="eastAsia"/>
          <w:b/>
          <w:bCs/>
        </w:rPr>
        <w:t>研究１</w:t>
      </w:r>
      <w:r w:rsidRPr="00647BB2">
        <w:rPr>
          <w:rFonts w:ascii="ＭＳ ゴシック" w:hAnsi="ＭＳ ゴシック" w:hint="eastAsia"/>
          <w:b/>
          <w:bCs/>
        </w:rPr>
        <w:t>」</w:t>
      </w:r>
      <w:r>
        <w:rPr>
          <w:rFonts w:ascii="ＭＳ ゴシック" w:hAnsi="ＭＳ ゴシック" w:hint="eastAsia"/>
          <w:b/>
          <w:bCs/>
        </w:rPr>
        <w:t>：大阪GH訴訟2021年1月20日大阪地裁判決　検討</w:t>
      </w:r>
    </w:p>
    <w:p w14:paraId="6B77E3D3" w14:textId="630EA987" w:rsidR="00647BB2" w:rsidRDefault="00647BB2" w:rsidP="00B04C94">
      <w:pPr>
        <w:jc w:val="right"/>
        <w:rPr>
          <w:rFonts w:ascii="ＭＳ ゴシック" w:hAnsi="ＭＳ ゴシック"/>
          <w:b/>
          <w:bCs/>
        </w:rPr>
      </w:pPr>
      <w:r>
        <w:rPr>
          <w:rFonts w:ascii="ＭＳ ゴシック" w:hAnsi="ＭＳ ゴシック" w:hint="eastAsia"/>
          <w:b/>
          <w:bCs/>
        </w:rPr>
        <w:t xml:space="preserve">　　司会藤岡メモ</w:t>
      </w:r>
    </w:p>
    <w:p w14:paraId="34F2038A" w14:textId="08365F0E" w:rsidR="005F043F" w:rsidRDefault="005F043F" w:rsidP="00647BB2">
      <w:pPr>
        <w:jc w:val="right"/>
        <w:rPr>
          <w:rFonts w:ascii="ＭＳ ゴシック" w:hAnsi="ＭＳ ゴシック"/>
          <w:b/>
          <w:bCs/>
        </w:rPr>
      </w:pPr>
      <w:r w:rsidRPr="00647BB2">
        <w:rPr>
          <w:rFonts w:ascii="ＭＳ ゴシック" w:hAnsi="ＭＳ ゴシック" w:hint="eastAsia"/>
          <w:b/>
          <w:bCs/>
        </w:rPr>
        <w:t>2022年1</w:t>
      </w:r>
      <w:r w:rsidR="00DB687F">
        <w:rPr>
          <w:rFonts w:ascii="ＭＳ ゴシック" w:hAnsi="ＭＳ ゴシック" w:hint="eastAsia"/>
          <w:b/>
          <w:bCs/>
        </w:rPr>
        <w:t>1</w:t>
      </w:r>
      <w:r w:rsidRPr="00647BB2">
        <w:rPr>
          <w:rFonts w:ascii="ＭＳ ゴシック" w:hAnsi="ＭＳ ゴシック" w:hint="eastAsia"/>
          <w:b/>
          <w:bCs/>
        </w:rPr>
        <w:t>月20日</w:t>
      </w:r>
    </w:p>
    <w:p w14:paraId="10FC730F" w14:textId="117F508B" w:rsidR="00647BB2" w:rsidRDefault="00647BB2" w:rsidP="00647BB2">
      <w:pPr>
        <w:jc w:val="left"/>
        <w:rPr>
          <w:rFonts w:ascii="ＭＳ ゴシック" w:hAnsi="ＭＳ ゴシック"/>
          <w:b/>
          <w:bCs/>
        </w:rPr>
      </w:pPr>
      <w:r>
        <w:rPr>
          <w:rFonts w:ascii="ＭＳ ゴシック" w:hAnsi="ＭＳ ゴシック" w:hint="eastAsia"/>
          <w:b/>
          <w:bCs/>
        </w:rPr>
        <w:t xml:space="preserve">　一　判決の検討</w:t>
      </w:r>
    </w:p>
    <w:p w14:paraId="656DF916" w14:textId="0765D17E" w:rsidR="00422EC9" w:rsidRDefault="00647BB2" w:rsidP="002625ED">
      <w:pPr>
        <w:ind w:left="996" w:hangingChars="400" w:hanging="996"/>
        <w:jc w:val="left"/>
        <w:rPr>
          <w:rFonts w:ascii="ＭＳ ゴシック" w:hAnsi="ＭＳ ゴシック"/>
          <w:b/>
          <w:bCs/>
        </w:rPr>
      </w:pPr>
      <w:r>
        <w:rPr>
          <w:rFonts w:ascii="ＭＳ ゴシック" w:hAnsi="ＭＳ ゴシック" w:hint="eastAsia"/>
          <w:b/>
          <w:bCs/>
        </w:rPr>
        <w:t xml:space="preserve">　１　</w:t>
      </w:r>
      <w:r w:rsidR="00422EC9">
        <w:rPr>
          <w:rFonts w:ascii="ＭＳ ゴシック" w:hAnsi="ＭＳ ゴシック" w:hint="eastAsia"/>
          <w:b/>
          <w:bCs/>
        </w:rPr>
        <w:t>争いなく正当な部分</w:t>
      </w:r>
    </w:p>
    <w:p w14:paraId="5C419AD1" w14:textId="096F5E5F" w:rsidR="00647BB2" w:rsidRPr="002625ED" w:rsidRDefault="002625ED" w:rsidP="001D7B3B">
      <w:pPr>
        <w:ind w:leftChars="224" w:left="556" w:rightChars="-58" w:right="-144"/>
        <w:jc w:val="left"/>
        <w:rPr>
          <w:rFonts w:ascii="ＭＳ ゴシック" w:hAnsi="ＭＳ ゴシック"/>
        </w:rPr>
      </w:pPr>
      <w:r>
        <w:rPr>
          <w:rFonts w:ascii="ＭＳ ゴシック" w:hAnsi="ＭＳ ゴシック" w:hint="eastAsia"/>
          <w:b/>
          <w:bCs/>
        </w:rPr>
        <w:t>「生活の本拠として使用」（36頁）＝正当：</w:t>
      </w:r>
      <w:r w:rsidRPr="002625ED">
        <w:rPr>
          <w:rFonts w:ascii="ＭＳ ゴシック" w:hAnsi="ＭＳ ゴシック" w:hint="eastAsia"/>
        </w:rPr>
        <w:t>20年</w:t>
      </w:r>
      <w:r w:rsidR="001D7B3B">
        <w:rPr>
          <w:rFonts w:ascii="ＭＳ ゴシック" w:hAnsi="ＭＳ ゴシック" w:hint="eastAsia"/>
        </w:rPr>
        <w:t>間</w:t>
      </w:r>
      <w:r w:rsidR="00BB00A1">
        <w:rPr>
          <w:rFonts w:ascii="ＭＳ ゴシック" w:hAnsi="ＭＳ ゴシック" w:hint="eastAsia"/>
        </w:rPr>
        <w:t>平穏</w:t>
      </w:r>
      <w:r w:rsidRPr="002625ED">
        <w:rPr>
          <w:rFonts w:ascii="ＭＳ ゴシック" w:hAnsi="ＭＳ ゴシック" w:hint="eastAsia"/>
        </w:rPr>
        <w:t>に住居として</w:t>
      </w:r>
      <w:r w:rsidR="00BB00A1">
        <w:rPr>
          <w:rFonts w:ascii="ＭＳ ゴシック" w:hAnsi="ＭＳ ゴシック" w:hint="eastAsia"/>
        </w:rPr>
        <w:t>暮らし</w:t>
      </w:r>
      <w:r w:rsidRPr="002625ED">
        <w:rPr>
          <w:rFonts w:ascii="ＭＳ ゴシック" w:hAnsi="ＭＳ ゴシック" w:hint="eastAsia"/>
        </w:rPr>
        <w:t>ている。</w:t>
      </w:r>
    </w:p>
    <w:p w14:paraId="15BD0EBA" w14:textId="5EB0D830" w:rsidR="00422EC9" w:rsidRDefault="002625ED" w:rsidP="00647BB2">
      <w:pPr>
        <w:jc w:val="left"/>
        <w:rPr>
          <w:rFonts w:ascii="ＭＳ ゴシック" w:hAnsi="ＭＳ ゴシック"/>
          <w:b/>
          <w:bCs/>
        </w:rPr>
      </w:pPr>
      <w:r>
        <w:rPr>
          <w:rFonts w:ascii="ＭＳ ゴシック" w:hAnsi="ＭＳ ゴシック" w:hint="eastAsia"/>
          <w:b/>
          <w:bCs/>
        </w:rPr>
        <w:t xml:space="preserve">　２　</w:t>
      </w:r>
      <w:r w:rsidR="00422EC9">
        <w:rPr>
          <w:rFonts w:ascii="ＭＳ ゴシック" w:hAnsi="ＭＳ ゴシック" w:hint="eastAsia"/>
          <w:b/>
          <w:bCs/>
        </w:rPr>
        <w:t>争点</w:t>
      </w:r>
    </w:p>
    <w:p w14:paraId="345CBE25" w14:textId="1DB001F5" w:rsidR="002625ED" w:rsidRDefault="00422EC9" w:rsidP="00422EC9">
      <w:pPr>
        <w:ind w:firstLineChars="100" w:firstLine="249"/>
        <w:jc w:val="left"/>
        <w:rPr>
          <w:rFonts w:ascii="ＭＳ ゴシック" w:hAnsi="ＭＳ ゴシック"/>
          <w:b/>
          <w:bCs/>
        </w:rPr>
      </w:pPr>
      <w:r>
        <w:rPr>
          <w:rFonts w:ascii="ＭＳ ゴシック" w:hAnsi="ＭＳ ゴシック" w:hint="eastAsia"/>
          <w:b/>
          <w:bCs/>
        </w:rPr>
        <w:t>争点①　住宅としての利用</w:t>
      </w:r>
      <w:r w:rsidR="00997FF5">
        <w:rPr>
          <w:rFonts w:ascii="ＭＳ ゴシック" w:hAnsi="ＭＳ ゴシック" w:hint="eastAsia"/>
          <w:b/>
          <w:bCs/>
        </w:rPr>
        <w:t>といえるか？</w:t>
      </w:r>
      <w:r>
        <w:rPr>
          <w:rFonts w:ascii="ＭＳ ゴシック" w:hAnsi="ＭＳ ゴシック" w:hint="eastAsia"/>
          <w:b/>
          <w:bCs/>
        </w:rPr>
        <w:t>（規約12条違反）</w:t>
      </w:r>
    </w:p>
    <w:p w14:paraId="49A575DF" w14:textId="1C3D8158" w:rsidR="002625ED" w:rsidRPr="001D7B3B" w:rsidRDefault="002625ED" w:rsidP="00647BB2">
      <w:pPr>
        <w:jc w:val="left"/>
        <w:rPr>
          <w:rFonts w:ascii="ＭＳ ゴシック" w:hAnsi="ＭＳ ゴシック"/>
        </w:rPr>
      </w:pPr>
      <w:r>
        <w:rPr>
          <w:rFonts w:ascii="ＭＳ ゴシック" w:hAnsi="ＭＳ ゴシック" w:hint="eastAsia"/>
          <w:b/>
          <w:bCs/>
        </w:rPr>
        <w:t xml:space="preserve">　</w:t>
      </w:r>
      <w:r w:rsidRPr="001D7B3B">
        <w:rPr>
          <w:rFonts w:ascii="ＭＳ ゴシック" w:hAnsi="ＭＳ ゴシック" w:hint="eastAsia"/>
        </w:rPr>
        <w:t xml:space="preserve">　</w:t>
      </w:r>
      <w:r w:rsidR="00997FF5" w:rsidRPr="001D7B3B">
        <w:rPr>
          <w:rFonts w:ascii="ＭＳ ゴシック" w:hAnsi="ＭＳ ゴシック" w:hint="eastAsia"/>
        </w:rPr>
        <w:t xml:space="preserve">　</w:t>
      </w:r>
      <w:r w:rsidR="00A22BE3" w:rsidRPr="001D7B3B">
        <w:rPr>
          <w:rFonts w:ascii="ＭＳ ゴシック" w:hAnsi="ＭＳ ゴシック" w:hint="eastAsia"/>
        </w:rPr>
        <w:t>2016年GHの利用を前提として大阪市は共同住宅特例</w:t>
      </w:r>
      <w:r w:rsidR="001D7B3B">
        <w:rPr>
          <w:rFonts w:ascii="ＭＳ ゴシック" w:hAnsi="ＭＳ ゴシック" w:hint="eastAsia"/>
        </w:rPr>
        <w:t>を</w:t>
      </w:r>
      <w:r w:rsidR="00A22BE3" w:rsidRPr="001D7B3B">
        <w:rPr>
          <w:rFonts w:ascii="ＭＳ ゴシック" w:hAnsi="ＭＳ ゴシック" w:hint="eastAsia"/>
        </w:rPr>
        <w:t>承認。</w:t>
      </w:r>
    </w:p>
    <w:p w14:paraId="1812065C" w14:textId="4323D62A" w:rsidR="00A22BE3" w:rsidRPr="001D7B3B" w:rsidRDefault="00A22BE3" w:rsidP="00647BB2">
      <w:pPr>
        <w:jc w:val="left"/>
        <w:rPr>
          <w:rFonts w:ascii="ＭＳ ゴシック" w:hAnsi="ＭＳ ゴシック"/>
        </w:rPr>
      </w:pPr>
      <w:r w:rsidRPr="001D7B3B">
        <w:rPr>
          <w:rFonts w:ascii="ＭＳ ゴシック" w:hAnsi="ＭＳ ゴシック" w:hint="eastAsia"/>
        </w:rPr>
        <w:t xml:space="preserve">　　</w:t>
      </w:r>
      <w:r w:rsidR="00AE20F1" w:rsidRPr="001D7B3B">
        <w:rPr>
          <w:rFonts w:ascii="ＭＳ ゴシック" w:hAnsi="ＭＳ ゴシック" w:hint="eastAsia"/>
        </w:rPr>
        <w:t>→</w:t>
      </w:r>
      <w:r w:rsidR="00F94E4D">
        <w:rPr>
          <w:rFonts w:ascii="ＭＳ ゴシック" w:hAnsi="ＭＳ ゴシック" w:hint="eastAsia"/>
        </w:rPr>
        <w:t>よって、</w:t>
      </w:r>
      <w:r w:rsidR="00AE20F1" w:rsidRPr="001D7B3B">
        <w:rPr>
          <w:rFonts w:ascii="ＭＳ ゴシック" w:hAnsi="ＭＳ ゴシック" w:hint="eastAsia"/>
        </w:rPr>
        <w:t>GHは法令上問題ないという結論のはず（司会私見）。</w:t>
      </w:r>
    </w:p>
    <w:p w14:paraId="2E386AA7" w14:textId="3B1AE3F2" w:rsidR="00AE20F1" w:rsidRPr="001D7B3B" w:rsidRDefault="00AE20F1" w:rsidP="00AE20F1">
      <w:pPr>
        <w:ind w:left="1488" w:hangingChars="600" w:hanging="1488"/>
        <w:jc w:val="left"/>
        <w:rPr>
          <w:rFonts w:ascii="ＭＳ ゴシック" w:hAnsi="ＭＳ ゴシック"/>
        </w:rPr>
      </w:pPr>
      <w:r w:rsidRPr="001D7B3B">
        <w:rPr>
          <w:rFonts w:ascii="ＭＳ ゴシック" w:hAnsi="ＭＳ ゴシック" w:hint="eastAsia"/>
        </w:rPr>
        <w:t xml:space="preserve">　　→but判決は「現在56㎡の床面積が将来1000㎡を超える可能性は否定できない」</w:t>
      </w:r>
    </w:p>
    <w:p w14:paraId="1ED8AADF" w14:textId="7E022A80" w:rsidR="00AE20F1" w:rsidRPr="001D7B3B" w:rsidRDefault="00AE20F1" w:rsidP="00AE20F1">
      <w:pPr>
        <w:ind w:left="1488" w:hangingChars="600" w:hanging="1488"/>
        <w:jc w:val="left"/>
        <w:rPr>
          <w:rFonts w:ascii="ＭＳ ゴシック" w:hAnsi="ＭＳ ゴシック"/>
        </w:rPr>
      </w:pPr>
      <w:r w:rsidRPr="001D7B3B">
        <w:rPr>
          <w:rFonts w:ascii="ＭＳ ゴシック" w:hAnsi="ＭＳ ゴシック" w:hint="eastAsia"/>
        </w:rPr>
        <w:t xml:space="preserve">　　　との理由で「</w:t>
      </w:r>
      <w:r w:rsidR="00997FF5" w:rsidRPr="001D7B3B">
        <w:rPr>
          <w:rFonts w:ascii="ＭＳ ゴシック" w:hAnsi="ＭＳ ゴシック" w:hint="eastAsia"/>
        </w:rPr>
        <w:t>特例に</w:t>
      </w:r>
      <w:r w:rsidRPr="001D7B3B">
        <w:rPr>
          <w:rFonts w:ascii="ＭＳ ゴシック" w:hAnsi="ＭＳ ゴシック" w:hint="eastAsia"/>
        </w:rPr>
        <w:t>適合しなくなる危険がある」から規約</w:t>
      </w:r>
      <w:r w:rsidR="00422EC9" w:rsidRPr="001D7B3B">
        <w:rPr>
          <w:rFonts w:ascii="ＭＳ ゴシック" w:hAnsi="ＭＳ ゴシック" w:hint="eastAsia"/>
        </w:rPr>
        <w:t>12条</w:t>
      </w:r>
      <w:r w:rsidRPr="001D7B3B">
        <w:rPr>
          <w:rFonts w:ascii="ＭＳ ゴシック" w:hAnsi="ＭＳ ゴシック" w:hint="eastAsia"/>
        </w:rPr>
        <w:t>違反</w:t>
      </w:r>
      <w:r w:rsidR="00997FF5" w:rsidRPr="001D7B3B">
        <w:rPr>
          <w:rFonts w:ascii="ＭＳ ゴシック" w:hAnsi="ＭＳ ゴシック" w:hint="eastAsia"/>
        </w:rPr>
        <w:t>（39頁）</w:t>
      </w:r>
      <w:r w:rsidRPr="001D7B3B">
        <w:rPr>
          <w:rFonts w:ascii="ＭＳ ゴシック" w:hAnsi="ＭＳ ゴシック" w:hint="eastAsia"/>
        </w:rPr>
        <w:t>。</w:t>
      </w:r>
    </w:p>
    <w:p w14:paraId="4ABB2565" w14:textId="22F26488" w:rsidR="00AE20F1" w:rsidRPr="001D7B3B" w:rsidRDefault="00AE20F1" w:rsidP="001D7B3B">
      <w:pPr>
        <w:ind w:left="1488" w:hangingChars="600" w:hanging="1488"/>
        <w:jc w:val="left"/>
        <w:rPr>
          <w:rFonts w:ascii="ＭＳ ゴシック" w:hAnsi="ＭＳ ゴシック"/>
        </w:rPr>
      </w:pPr>
      <w:r w:rsidRPr="001D7B3B">
        <w:rPr>
          <w:rFonts w:ascii="ＭＳ ゴシック" w:hAnsi="ＭＳ ゴシック" w:hint="eastAsia"/>
        </w:rPr>
        <w:t xml:space="preserve">　　→無茶苦茶な論旨</w:t>
      </w:r>
      <w:r w:rsidR="00F94E4D">
        <w:rPr>
          <w:rFonts w:ascii="ＭＳ ゴシック" w:hAnsi="ＭＳ ゴシック" w:hint="eastAsia"/>
        </w:rPr>
        <w:t>と思える</w:t>
      </w:r>
      <w:r w:rsidRPr="001D7B3B">
        <w:rPr>
          <w:rFonts w:ascii="ＭＳ ゴシック" w:hAnsi="ＭＳ ゴシック" w:hint="eastAsia"/>
        </w:rPr>
        <w:t>！</w:t>
      </w:r>
      <w:r w:rsidR="001D7B3B" w:rsidRPr="001D7B3B">
        <w:rPr>
          <w:rFonts w:ascii="ＭＳ ゴシック" w:hAnsi="ＭＳ ゴシック" w:hint="eastAsia"/>
        </w:rPr>
        <w:t xml:space="preserve">　</w:t>
      </w:r>
    </w:p>
    <w:p w14:paraId="48D5159E" w14:textId="5266A5D5" w:rsidR="00AE20F1" w:rsidRDefault="00AE20F1" w:rsidP="00AE20F1">
      <w:pPr>
        <w:ind w:left="1494" w:hangingChars="600" w:hanging="1494"/>
        <w:jc w:val="left"/>
        <w:rPr>
          <w:rFonts w:ascii="ＭＳ ゴシック" w:hAnsi="ＭＳ ゴシック"/>
          <w:b/>
          <w:bCs/>
        </w:rPr>
      </w:pPr>
      <w:r>
        <w:rPr>
          <w:rFonts w:ascii="ＭＳ ゴシック" w:hAnsi="ＭＳ ゴシック" w:hint="eastAsia"/>
          <w:b/>
          <w:bCs/>
        </w:rPr>
        <w:t xml:space="preserve">　</w:t>
      </w:r>
      <w:r w:rsidR="00422EC9">
        <w:rPr>
          <w:rFonts w:ascii="ＭＳ ゴシック" w:hAnsi="ＭＳ ゴシック" w:hint="eastAsia"/>
          <w:b/>
          <w:bCs/>
        </w:rPr>
        <w:t>争点</w:t>
      </w:r>
      <w:r w:rsidR="00997FF5">
        <w:rPr>
          <w:rFonts w:ascii="ＭＳ ゴシック" w:hAnsi="ＭＳ ゴシック" w:hint="eastAsia"/>
          <w:b/>
          <w:bCs/>
        </w:rPr>
        <w:t>③　共同の利益に反するか？（区分所有法違反）</w:t>
      </w:r>
    </w:p>
    <w:p w14:paraId="25263BFE" w14:textId="2C66FD3F" w:rsidR="00DA5C2C" w:rsidRPr="00DB687F" w:rsidRDefault="00997FF5" w:rsidP="00DA5C2C">
      <w:pPr>
        <w:ind w:left="707" w:hangingChars="284" w:hanging="707"/>
        <w:jc w:val="left"/>
        <w:rPr>
          <w:rFonts w:ascii="ＭＳ ゴシック" w:hAnsi="ＭＳ ゴシック"/>
        </w:rPr>
      </w:pPr>
      <w:r>
        <w:rPr>
          <w:rFonts w:ascii="ＭＳ ゴシック" w:hAnsi="ＭＳ ゴシック" w:hint="eastAsia"/>
          <w:b/>
          <w:bCs/>
        </w:rPr>
        <w:t xml:space="preserve">　　　</w:t>
      </w:r>
      <w:r w:rsidR="00DA5C2C">
        <w:rPr>
          <w:rFonts w:ascii="ＭＳ ゴシック" w:hAnsi="ＭＳ ゴシック" w:hint="eastAsia"/>
          <w:b/>
          <w:bCs/>
        </w:rPr>
        <w:t>「将来における多額の金銭的負担の危険を負うことを余儀なくされている（43頁）、GHと無関係の所有者に負担させる可能性、特例が外れる可能性が皆無であることを認めるに足りる証拠はない」（44頁</w:t>
      </w:r>
      <w:r w:rsidR="00DA5C2C" w:rsidRPr="00DB687F">
        <w:rPr>
          <w:rFonts w:ascii="ＭＳ ゴシック" w:hAnsi="ＭＳ ゴシック" w:hint="eastAsia"/>
        </w:rPr>
        <w:t>）とし、反するという。</w:t>
      </w:r>
    </w:p>
    <w:p w14:paraId="09DAD357" w14:textId="5A6AE03F" w:rsidR="00DA5C2C" w:rsidRDefault="00DA5C2C" w:rsidP="00DA5C2C">
      <w:pPr>
        <w:ind w:left="707" w:hangingChars="284" w:hanging="707"/>
        <w:jc w:val="left"/>
        <w:rPr>
          <w:rFonts w:ascii="ＭＳ ゴシック" w:hAnsi="ＭＳ ゴシック"/>
          <w:b/>
          <w:bCs/>
        </w:rPr>
      </w:pPr>
      <w:r>
        <w:rPr>
          <w:rFonts w:ascii="ＭＳ ゴシック" w:hAnsi="ＭＳ ゴシック" w:hint="eastAsia"/>
          <w:b/>
          <w:bCs/>
        </w:rPr>
        <w:t xml:space="preserve">　　→</w:t>
      </w:r>
      <w:r w:rsidR="00EE3029">
        <w:rPr>
          <w:rFonts w:ascii="ＭＳ ゴシック" w:hAnsi="ＭＳ ゴシック" w:hint="eastAsia"/>
          <w:b/>
          <w:bCs/>
        </w:rPr>
        <w:t>そもそも障害者GHとは</w:t>
      </w:r>
    </w:p>
    <w:p w14:paraId="38E2D8D2" w14:textId="40533458" w:rsidR="00EE3029" w:rsidRPr="00432070" w:rsidRDefault="00EE3029" w:rsidP="00EE3029">
      <w:pPr>
        <w:ind w:left="1205" w:hangingChars="484" w:hanging="1205"/>
        <w:jc w:val="left"/>
        <w:rPr>
          <w:rFonts w:ascii="ＭＳ ゴシック" w:hAnsi="ＭＳ ゴシック"/>
        </w:rPr>
      </w:pPr>
      <w:r>
        <w:rPr>
          <w:rFonts w:ascii="ＭＳ ゴシック" w:hAnsi="ＭＳ ゴシック" w:hint="eastAsia"/>
          <w:b/>
          <w:bCs/>
        </w:rPr>
        <w:t xml:space="preserve">　　　</w:t>
      </w:r>
      <w:r w:rsidRPr="001D7B3B">
        <w:rPr>
          <w:rFonts w:ascii="ＭＳ ゴシック" w:hAnsi="ＭＳ ゴシック" w:hint="eastAsia"/>
        </w:rPr>
        <w:t>①</w:t>
      </w:r>
      <w:r w:rsidR="001D7B3B" w:rsidRPr="001D7B3B">
        <w:rPr>
          <w:rFonts w:ascii="ＭＳ ゴシック" w:hAnsi="ＭＳ ゴシック" w:hint="eastAsia"/>
        </w:rPr>
        <w:t xml:space="preserve"> </w:t>
      </w:r>
      <w:r w:rsidRPr="00432070">
        <w:rPr>
          <w:rFonts w:ascii="ＭＳ ゴシック" w:hAnsi="ＭＳ ゴシック" w:hint="eastAsia"/>
        </w:rPr>
        <w:t>住宅は一般住宅地内に位置し、外観は一般の住宅と異なることのない</w:t>
      </w:r>
    </w:p>
    <w:p w14:paraId="562E07BA" w14:textId="09E024B2" w:rsidR="00EE3029" w:rsidRPr="00432070" w:rsidRDefault="00EE3029" w:rsidP="00EE3029">
      <w:pPr>
        <w:ind w:left="1200" w:hangingChars="484" w:hanging="1200"/>
        <w:jc w:val="left"/>
        <w:rPr>
          <w:rFonts w:ascii="ＭＳ ゴシック" w:hAnsi="ＭＳ ゴシック"/>
        </w:rPr>
      </w:pPr>
      <w:r w:rsidRPr="00432070">
        <w:rPr>
          <w:rFonts w:ascii="ＭＳ ゴシック" w:hAnsi="ＭＳ ゴシック" w:hint="eastAsia"/>
        </w:rPr>
        <w:t xml:space="preserve">　　　②</w:t>
      </w:r>
      <w:r w:rsidR="001D7B3B">
        <w:rPr>
          <w:rFonts w:ascii="ＭＳ ゴシック" w:hAnsi="ＭＳ ゴシック" w:hint="eastAsia"/>
        </w:rPr>
        <w:t xml:space="preserve"> </w:t>
      </w:r>
      <w:r w:rsidR="001D7B3B">
        <w:rPr>
          <w:rFonts w:ascii="ＭＳ ゴシック" w:hAnsi="ＭＳ ゴシック"/>
        </w:rPr>
        <w:t>GH</w:t>
      </w:r>
      <w:r w:rsidRPr="00432070">
        <w:rPr>
          <w:rFonts w:ascii="ＭＳ ゴシック" w:hAnsi="ＭＳ ゴシック"/>
        </w:rPr>
        <w:t>の特色は、障害を持った人達が</w:t>
      </w:r>
      <w:r w:rsidRPr="00432070">
        <w:rPr>
          <w:rFonts w:ascii="ＭＳ ゴシック" w:hAnsi="ＭＳ ゴシック"/>
          <w:b/>
          <w:bCs/>
          <w:u w:val="thick"/>
        </w:rPr>
        <w:t>少人数</w:t>
      </w:r>
      <w:r w:rsidRPr="00432070">
        <w:rPr>
          <w:rFonts w:ascii="ＭＳ ゴシック" w:hAnsi="ＭＳ ゴシック"/>
        </w:rPr>
        <w:t>で支え合って暮らすこと</w:t>
      </w:r>
    </w:p>
    <w:p w14:paraId="312FCD9C" w14:textId="2B6FED94" w:rsidR="00EE3029" w:rsidRPr="00432070" w:rsidRDefault="00EE3029" w:rsidP="00EE3029">
      <w:pPr>
        <w:ind w:left="1200" w:hangingChars="484" w:hanging="1200"/>
        <w:jc w:val="left"/>
        <w:rPr>
          <w:rFonts w:ascii="ＭＳ ゴシック" w:hAnsi="ＭＳ ゴシック"/>
        </w:rPr>
      </w:pPr>
      <w:r w:rsidRPr="00432070">
        <w:rPr>
          <w:rFonts w:ascii="ＭＳ ゴシック" w:hAnsi="ＭＳ ゴシック" w:hint="eastAsia"/>
        </w:rPr>
        <w:t xml:space="preserve">　　　③</w:t>
      </w:r>
      <w:r w:rsidR="001D7B3B">
        <w:rPr>
          <w:rFonts w:ascii="ＭＳ ゴシック" w:hAnsi="ＭＳ ゴシック" w:hint="eastAsia"/>
        </w:rPr>
        <w:t xml:space="preserve"> </w:t>
      </w:r>
      <w:r w:rsidRPr="00432070">
        <w:rPr>
          <w:rFonts w:ascii="ＭＳ ゴシック" w:hAnsi="ＭＳ ゴシック" w:hint="eastAsia"/>
        </w:rPr>
        <w:t>人数は</w:t>
      </w:r>
      <w:r w:rsidRPr="00432070">
        <w:rPr>
          <w:rFonts w:ascii="ＭＳ ゴシック" w:hAnsi="ＭＳ ゴシック" w:hint="eastAsia"/>
          <w:b/>
          <w:bCs/>
        </w:rPr>
        <w:t>４～５人を標準</w:t>
      </w:r>
      <w:r w:rsidR="001D7B3B">
        <w:rPr>
          <w:rFonts w:ascii="ＭＳ ゴシック" w:hAnsi="ＭＳ ゴシック" w:hint="eastAsia"/>
        </w:rPr>
        <w:t xml:space="preserve"> </w:t>
      </w:r>
      <w:r w:rsidRPr="00432070">
        <w:rPr>
          <w:rFonts w:ascii="ＭＳ ゴシック" w:hAnsi="ＭＳ ゴシック" w:hint="eastAsia"/>
        </w:rPr>
        <w:t>としている</w:t>
      </w:r>
      <w:r w:rsidRPr="00432070">
        <w:rPr>
          <w:rStyle w:val="ad"/>
          <w:rFonts w:ascii="ＭＳ ゴシック" w:hAnsi="ＭＳ ゴシック"/>
        </w:rPr>
        <w:footnoteReference w:id="1"/>
      </w:r>
      <w:r w:rsidRPr="00432070">
        <w:rPr>
          <w:rFonts w:ascii="ＭＳ ゴシック" w:hAnsi="ＭＳ ゴシック" w:hint="eastAsia"/>
        </w:rPr>
        <w:t>。</w:t>
      </w:r>
    </w:p>
    <w:p w14:paraId="7E8B450D" w14:textId="0C7A95AB" w:rsidR="00EE3029" w:rsidRPr="00216BDA" w:rsidRDefault="00432070" w:rsidP="00EE3029">
      <w:pPr>
        <w:ind w:left="1205" w:hangingChars="484" w:hanging="1205"/>
        <w:jc w:val="left"/>
        <w:rPr>
          <w:rFonts w:ascii="ＭＳ ゴシック" w:hAnsi="ＭＳ ゴシック"/>
        </w:rPr>
      </w:pPr>
      <w:r>
        <w:rPr>
          <w:rFonts w:ascii="ＭＳ ゴシック" w:hAnsi="ＭＳ ゴシック" w:hint="eastAsia"/>
          <w:b/>
          <w:bCs/>
        </w:rPr>
        <w:t xml:space="preserve">　　　</w:t>
      </w:r>
      <w:r w:rsidRPr="00216BDA">
        <w:rPr>
          <w:rFonts w:ascii="ＭＳ ゴシック" w:hAnsi="ＭＳ ゴシック" w:hint="eastAsia"/>
        </w:rPr>
        <w:t>現行法令でも</w:t>
      </w:r>
    </w:p>
    <w:p w14:paraId="3E353596" w14:textId="34966D8F" w:rsidR="00216BDA" w:rsidRPr="00216BDA" w:rsidRDefault="00432070" w:rsidP="001D7B3B">
      <w:pPr>
        <w:ind w:left="1200" w:hangingChars="484" w:hanging="1200"/>
        <w:jc w:val="left"/>
        <w:rPr>
          <w:rFonts w:ascii="ＭＳ ゴシック" w:hAnsi="ＭＳ ゴシック"/>
        </w:rPr>
      </w:pPr>
      <w:r w:rsidRPr="00216BDA">
        <w:rPr>
          <w:rFonts w:ascii="ＭＳ ゴシック" w:hAnsi="ＭＳ ゴシック" w:hint="eastAsia"/>
        </w:rPr>
        <w:t xml:space="preserve">　　</w:t>
      </w:r>
      <w:r w:rsidR="00216BDA" w:rsidRPr="00216BDA">
        <w:rPr>
          <w:rFonts w:ascii="ＭＳ ゴシック" w:hAnsi="ＭＳ ゴシック" w:hint="eastAsia"/>
        </w:rPr>
        <w:t xml:space="preserve">　</w:t>
      </w:r>
      <w:r w:rsidRPr="00216BDA">
        <w:rPr>
          <w:rFonts w:ascii="ＭＳ ゴシック" w:hAnsi="ＭＳ ゴシック" w:hint="eastAsia"/>
        </w:rPr>
        <w:t>「</w:t>
      </w:r>
      <w:r w:rsidR="00216BDA" w:rsidRPr="00216BDA">
        <w:rPr>
          <w:rFonts w:ascii="ＭＳ ゴシック" w:hAnsi="ＭＳ ゴシック" w:hint="eastAsia"/>
        </w:rPr>
        <w:t>入居定員を</w:t>
      </w:r>
      <w:r w:rsidR="00216BDA" w:rsidRPr="008F4BBF">
        <w:rPr>
          <w:rFonts w:ascii="ＭＳ ゴシック" w:hAnsi="ＭＳ ゴシック" w:hint="eastAsia"/>
          <w:b/>
          <w:bCs/>
        </w:rPr>
        <w:t>2人</w:t>
      </w:r>
      <w:r w:rsidR="00216BDA" w:rsidRPr="00216BDA">
        <w:rPr>
          <w:rFonts w:ascii="ＭＳ ゴシック" w:hAnsi="ＭＳ ゴシック" w:hint="eastAsia"/>
        </w:rPr>
        <w:t>以上</w:t>
      </w:r>
      <w:r w:rsidR="00216BDA" w:rsidRPr="00216BDA">
        <w:rPr>
          <w:rFonts w:ascii="ＭＳ ゴシック" w:hAnsi="ＭＳ ゴシック" w:hint="eastAsia"/>
          <w:b/>
          <w:bCs/>
        </w:rPr>
        <w:t>10人以下</w:t>
      </w:r>
      <w:r w:rsidR="00216BDA" w:rsidRPr="00216BDA">
        <w:rPr>
          <w:rFonts w:ascii="ＭＳ ゴシック" w:hAnsi="ＭＳ ゴシック" w:hint="eastAsia"/>
        </w:rPr>
        <w:t>とする</w:t>
      </w:r>
      <w:r w:rsidRPr="00216BDA">
        <w:rPr>
          <w:rStyle w:val="ad"/>
          <w:rFonts w:ascii="ＭＳ ゴシック" w:hAnsi="ＭＳ ゴシック"/>
        </w:rPr>
        <w:footnoteReference w:id="2"/>
      </w:r>
      <w:r w:rsidRPr="00216BDA">
        <w:rPr>
          <w:rFonts w:ascii="ＭＳ ゴシック" w:hAnsi="ＭＳ ゴシック" w:hint="eastAsia"/>
        </w:rPr>
        <w:t>。</w:t>
      </w:r>
      <w:r w:rsidR="00216BDA" w:rsidRPr="00216BDA">
        <w:rPr>
          <w:rFonts w:ascii="ＭＳ ゴシック" w:hAnsi="ＭＳ ゴシック" w:hint="eastAsia"/>
        </w:rPr>
        <w:t>特例承認でも</w:t>
      </w:r>
      <w:r w:rsidR="00216BDA">
        <w:rPr>
          <w:rFonts w:ascii="ＭＳ ゴシック" w:hAnsi="ＭＳ ゴシック" w:hint="eastAsia"/>
        </w:rPr>
        <w:t>30</w:t>
      </w:r>
      <w:r w:rsidR="00216BDA" w:rsidRPr="00216BDA">
        <w:rPr>
          <w:rFonts w:ascii="ＭＳ ゴシック" w:hAnsi="ＭＳ ゴシック" w:hint="eastAsia"/>
        </w:rPr>
        <w:t>人が限界。</w:t>
      </w:r>
    </w:p>
    <w:p w14:paraId="7111D286" w14:textId="77777777" w:rsidR="008F4BBF" w:rsidRDefault="00216BDA" w:rsidP="00EE3029">
      <w:pPr>
        <w:ind w:left="1205" w:hangingChars="484" w:hanging="1205"/>
        <w:jc w:val="left"/>
        <w:rPr>
          <w:rFonts w:ascii="ＭＳ ゴシック" w:hAnsi="ＭＳ ゴシック"/>
        </w:rPr>
      </w:pPr>
      <w:r>
        <w:rPr>
          <w:rFonts w:ascii="ＭＳ ゴシック" w:hAnsi="ＭＳ ゴシック" w:hint="eastAsia"/>
          <w:b/>
          <w:bCs/>
        </w:rPr>
        <w:t xml:space="preserve">　　</w:t>
      </w:r>
      <w:r w:rsidR="008F4BBF">
        <w:rPr>
          <w:rFonts w:ascii="ＭＳ ゴシック" w:hAnsi="ＭＳ ゴシック" w:hint="eastAsia"/>
          <w:b/>
          <w:bCs/>
        </w:rPr>
        <w:t xml:space="preserve">　　</w:t>
      </w:r>
      <w:r w:rsidR="008F4BBF" w:rsidRPr="008F4BBF">
        <w:rPr>
          <w:rFonts w:ascii="ＭＳ ゴシック" w:hAnsi="ＭＳ ゴシック" w:hint="eastAsia"/>
        </w:rPr>
        <w:t>居室の面積は、収納設備等を除き、</w:t>
      </w:r>
      <w:r w:rsidR="008F4BBF" w:rsidRPr="00E0751A">
        <w:rPr>
          <w:rFonts w:ascii="ＭＳ ゴシック" w:hAnsi="ＭＳ ゴシック" w:hint="eastAsia"/>
          <w:b/>
          <w:bCs/>
        </w:rPr>
        <w:t>7.43㎡</w:t>
      </w:r>
      <w:r w:rsidR="008F4BBF">
        <w:rPr>
          <w:rFonts w:ascii="ＭＳ ゴシック" w:hAnsi="ＭＳ ゴシック" w:hint="eastAsia"/>
        </w:rPr>
        <w:t>以上。</w:t>
      </w:r>
    </w:p>
    <w:p w14:paraId="5D0CB61F" w14:textId="43AA2236" w:rsidR="00EE3029" w:rsidRPr="00B04C94" w:rsidRDefault="00EE3029" w:rsidP="00DA5C2C">
      <w:pPr>
        <w:ind w:left="707" w:hangingChars="284" w:hanging="707"/>
        <w:jc w:val="left"/>
        <w:rPr>
          <w:rFonts w:ascii="ＭＳ ゴシック" w:hAnsi="ＭＳ ゴシック"/>
          <w:b/>
          <w:bCs/>
        </w:rPr>
      </w:pPr>
      <w:r>
        <w:rPr>
          <w:rFonts w:ascii="ＭＳ ゴシック" w:hAnsi="ＭＳ ゴシック" w:hint="eastAsia"/>
          <w:b/>
          <w:bCs/>
        </w:rPr>
        <w:t xml:space="preserve">　　　</w:t>
      </w:r>
      <w:r w:rsidR="008F4BBF" w:rsidRPr="00B04C94">
        <w:rPr>
          <w:rFonts w:ascii="ＭＳ ゴシック" w:hAnsi="ＭＳ ゴシック" w:hint="eastAsia"/>
        </w:rPr>
        <w:t xml:space="preserve">　</w:t>
      </w:r>
      <w:r w:rsidR="00E0751A" w:rsidRPr="00B04C94">
        <w:rPr>
          <w:rFonts w:ascii="ＭＳ ゴシック" w:hAnsi="ＭＳ ゴシック" w:hint="eastAsia"/>
        </w:rPr>
        <w:t>仮に理論上一人あたり10㎡としても、30人×10＝</w:t>
      </w:r>
      <w:r w:rsidR="00E0751A" w:rsidRPr="00B04C94">
        <w:rPr>
          <w:rFonts w:ascii="ＭＳ ゴシック" w:hAnsi="ＭＳ ゴシック" w:hint="eastAsia"/>
          <w:b/>
          <w:bCs/>
        </w:rPr>
        <w:t>300㎡。</w:t>
      </w:r>
    </w:p>
    <w:p w14:paraId="70EF50EC" w14:textId="49CEBAE4" w:rsidR="00E0751A" w:rsidRDefault="00E0751A" w:rsidP="00DA5C2C">
      <w:pPr>
        <w:ind w:left="704" w:hangingChars="284" w:hanging="704"/>
        <w:jc w:val="left"/>
        <w:rPr>
          <w:rFonts w:ascii="ＭＳ ゴシック" w:hAnsi="ＭＳ ゴシック"/>
        </w:rPr>
      </w:pPr>
      <w:r w:rsidRPr="00B04C94">
        <w:rPr>
          <w:rFonts w:ascii="ＭＳ ゴシック" w:hAnsi="ＭＳ ゴシック" w:hint="eastAsia"/>
        </w:rPr>
        <w:t xml:space="preserve">　　　　そもそも</w:t>
      </w:r>
      <w:r w:rsidRPr="00116F63">
        <w:rPr>
          <w:rFonts w:ascii="ＭＳ ゴシック" w:hAnsi="ＭＳ ゴシック" w:hint="eastAsia"/>
          <w:b/>
          <w:bCs/>
        </w:rPr>
        <w:t>障害者GHとは「小規模」であるから認可される</w:t>
      </w:r>
      <w:r w:rsidRPr="00B04C94">
        <w:rPr>
          <w:rFonts w:ascii="ＭＳ ゴシック" w:hAnsi="ＭＳ ゴシック" w:hint="eastAsia"/>
        </w:rPr>
        <w:t>のであり、</w:t>
      </w:r>
      <w:r w:rsidRPr="00FB41ED">
        <w:rPr>
          <w:rFonts w:ascii="ＭＳ ゴシック" w:hAnsi="ＭＳ ゴシック" w:hint="eastAsia"/>
          <w:b/>
          <w:bCs/>
        </w:rPr>
        <w:t>1000㎡を超える「大規模</w:t>
      </w:r>
      <w:r w:rsidR="00116F63">
        <w:rPr>
          <w:rFonts w:ascii="ＭＳ ゴシック" w:hAnsi="ＭＳ ゴシック" w:hint="eastAsia"/>
          <w:b/>
          <w:bCs/>
        </w:rPr>
        <w:t>障害者</w:t>
      </w:r>
      <w:r w:rsidRPr="00FB41ED">
        <w:rPr>
          <w:rFonts w:ascii="ＭＳ ゴシック" w:hAnsi="ＭＳ ゴシック" w:hint="eastAsia"/>
          <w:b/>
          <w:bCs/>
        </w:rPr>
        <w:t>GH」など、</w:t>
      </w:r>
      <w:r w:rsidR="00FB41ED" w:rsidRPr="00FB41ED">
        <w:rPr>
          <w:rFonts w:ascii="ＭＳ ゴシック" w:hAnsi="ＭＳ ゴシック" w:hint="eastAsia"/>
          <w:b/>
          <w:bCs/>
        </w:rPr>
        <w:t>形容矛盾であり、</w:t>
      </w:r>
      <w:r w:rsidRPr="00FB41ED">
        <w:rPr>
          <w:rFonts w:ascii="ＭＳ ゴシック" w:hAnsi="ＭＳ ゴシック" w:hint="eastAsia"/>
          <w:b/>
          <w:bCs/>
        </w:rPr>
        <w:t>法令上存在し得ない</w:t>
      </w:r>
      <w:r w:rsidR="00F94E4D">
        <w:rPr>
          <w:rFonts w:ascii="ＭＳ ゴシック" w:hAnsi="ＭＳ ゴシック" w:hint="eastAsia"/>
          <w:b/>
          <w:bCs/>
        </w:rPr>
        <w:t>。</w:t>
      </w:r>
      <w:r w:rsidRPr="00FB41ED">
        <w:rPr>
          <w:rFonts w:ascii="ＭＳ ゴシック" w:hAnsi="ＭＳ ゴシック" w:hint="eastAsia"/>
          <w:b/>
          <w:bCs/>
        </w:rPr>
        <w:t xml:space="preserve">　</w:t>
      </w:r>
    </w:p>
    <w:p w14:paraId="5F7F50F3" w14:textId="078F7761" w:rsidR="00FB41ED" w:rsidRDefault="00FB41ED" w:rsidP="00DA5C2C">
      <w:pPr>
        <w:ind w:left="707" w:hangingChars="284" w:hanging="707"/>
        <w:jc w:val="left"/>
        <w:rPr>
          <w:rFonts w:ascii="ＭＳ ゴシック" w:hAnsi="ＭＳ ゴシック"/>
          <w:b/>
          <w:bCs/>
        </w:rPr>
      </w:pPr>
      <w:r w:rsidRPr="00FB41ED">
        <w:rPr>
          <w:rFonts w:ascii="ＭＳ ゴシック" w:hAnsi="ＭＳ ゴシック" w:hint="eastAsia"/>
          <w:b/>
          <w:bCs/>
        </w:rPr>
        <w:t>争点④　差別解消法違反か？</w:t>
      </w:r>
    </w:p>
    <w:p w14:paraId="25E366DB" w14:textId="56C680DE" w:rsidR="00FB41ED" w:rsidRDefault="00FB41ED" w:rsidP="00DA5C2C">
      <w:pPr>
        <w:ind w:left="707" w:hangingChars="284" w:hanging="707"/>
        <w:jc w:val="left"/>
        <w:rPr>
          <w:rFonts w:ascii="ＭＳ ゴシック" w:hAnsi="ＭＳ ゴシック"/>
          <w:b/>
          <w:bCs/>
        </w:rPr>
      </w:pPr>
      <w:r>
        <w:rPr>
          <w:rFonts w:ascii="ＭＳ ゴシック" w:hAnsi="ＭＳ ゴシック" w:hint="eastAsia"/>
          <w:b/>
          <w:bCs/>
        </w:rPr>
        <w:t xml:space="preserve">　判決「障害を有しない者が住宅以外の用途に供する行為の停止を求めなかった事情が存在しないから差別でない。」</w:t>
      </w:r>
      <w:r w:rsidR="00D75771">
        <w:rPr>
          <w:rFonts w:ascii="ＭＳ ゴシック" w:hAnsi="ＭＳ ゴシック" w:hint="eastAsia"/>
          <w:b/>
          <w:bCs/>
        </w:rPr>
        <w:t>（45～46頁）</w:t>
      </w:r>
    </w:p>
    <w:p w14:paraId="184AAC34" w14:textId="5912387C" w:rsidR="00D75771" w:rsidRPr="001D7B3B" w:rsidRDefault="00D75771" w:rsidP="00D75771">
      <w:pPr>
        <w:ind w:left="426" w:hangingChars="171" w:hanging="426"/>
        <w:jc w:val="left"/>
        <w:rPr>
          <w:rFonts w:ascii="ＭＳ ゴシック" w:hAnsi="ＭＳ ゴシック"/>
        </w:rPr>
      </w:pPr>
      <w:r>
        <w:rPr>
          <w:rFonts w:ascii="ＭＳ ゴシック" w:hAnsi="ＭＳ ゴシック" w:hint="eastAsia"/>
          <w:b/>
          <w:bCs/>
        </w:rPr>
        <w:t xml:space="preserve">　司会の疑問：</w:t>
      </w:r>
      <w:r w:rsidRPr="001D7B3B">
        <w:rPr>
          <w:rFonts w:ascii="ＭＳ ゴシック" w:hAnsi="ＭＳ ゴシック" w:hint="eastAsia"/>
        </w:rPr>
        <w:t>GH利用者はGH事業者と貸主、利用者を借主とする賃貸借契約を結んでいる。転貸借契約の借主である。</w:t>
      </w:r>
    </w:p>
    <w:p w14:paraId="2B0DBFC5" w14:textId="3D7260C5" w:rsidR="00D75771" w:rsidRDefault="00D75771" w:rsidP="00D75771">
      <w:pPr>
        <w:ind w:leftChars="-170" w:left="285" w:hangingChars="284" w:hanging="707"/>
        <w:jc w:val="left"/>
        <w:rPr>
          <w:rFonts w:ascii="ＭＳ ゴシック" w:hAnsi="ＭＳ ゴシック"/>
          <w:b/>
          <w:bCs/>
        </w:rPr>
      </w:pPr>
      <w:r>
        <w:rPr>
          <w:rFonts w:ascii="ＭＳ ゴシック" w:hAnsi="ＭＳ ゴシック" w:hint="eastAsia"/>
          <w:b/>
          <w:bCs/>
        </w:rPr>
        <w:t xml:space="preserve">　　　　比較すべきは他の区分所有者が第三者に賃貸すなわち転貸借している事案である。</w:t>
      </w:r>
    </w:p>
    <w:p w14:paraId="72E9F7B3" w14:textId="240A82B3" w:rsidR="00D75771" w:rsidRPr="001D7B3B" w:rsidRDefault="00D75771" w:rsidP="00DA5C2C">
      <w:pPr>
        <w:ind w:left="707" w:hangingChars="284" w:hanging="707"/>
        <w:jc w:val="left"/>
        <w:rPr>
          <w:rFonts w:ascii="ＭＳ ゴシック" w:hAnsi="ＭＳ ゴシック"/>
        </w:rPr>
      </w:pPr>
      <w:r>
        <w:rPr>
          <w:rFonts w:ascii="ＭＳ ゴシック" w:hAnsi="ＭＳ ゴシック" w:hint="eastAsia"/>
          <w:b/>
          <w:bCs/>
        </w:rPr>
        <w:lastRenderedPageBreak/>
        <w:t xml:space="preserve">　　</w:t>
      </w:r>
      <w:r w:rsidRPr="001D7B3B">
        <w:rPr>
          <w:rFonts w:ascii="ＭＳ ゴシック" w:hAnsi="ＭＳ ゴシック" w:hint="eastAsia"/>
        </w:rPr>
        <w:t>所有者が法人であれ個人であれ、転貸借は不動産賃貸業を営む事業者である。</w:t>
      </w:r>
    </w:p>
    <w:p w14:paraId="4244C0F4" w14:textId="1159AC71" w:rsidR="00D75771" w:rsidRPr="001D7B3B" w:rsidRDefault="00D75771"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w:t>
      </w:r>
      <w:r w:rsidR="001D7B3B" w:rsidRPr="001D7B3B">
        <w:rPr>
          <w:rFonts w:ascii="ＭＳ ゴシック" w:hAnsi="ＭＳ ゴシック" w:hint="eastAsia"/>
        </w:rPr>
        <w:t>実態は</w:t>
      </w:r>
      <w:r w:rsidRPr="001D7B3B">
        <w:rPr>
          <w:rFonts w:ascii="ＭＳ ゴシック" w:hAnsi="ＭＳ ゴシック" w:hint="eastAsia"/>
        </w:rPr>
        <w:t>区分所有者が収益物件として不動産賃貸業務の事業に供している。</w:t>
      </w:r>
    </w:p>
    <w:p w14:paraId="534A8CEC" w14:textId="4B8075D9" w:rsidR="00D75771" w:rsidRPr="001D7B3B" w:rsidRDefault="00D75771"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他方、障害者GHは、障害者総合支援法とその関係法令、基準に基づき、国・都道府県・市町村の</w:t>
      </w:r>
      <w:r w:rsidRPr="00F94E4D">
        <w:rPr>
          <w:rFonts w:ascii="ＭＳ ゴシック" w:hAnsi="ＭＳ ゴシック" w:hint="eastAsia"/>
          <w:b/>
          <w:bCs/>
        </w:rPr>
        <w:t>公費により運営</w:t>
      </w:r>
      <w:r w:rsidRPr="001D7B3B">
        <w:rPr>
          <w:rFonts w:ascii="ＭＳ ゴシック" w:hAnsi="ＭＳ ゴシック" w:hint="eastAsia"/>
        </w:rPr>
        <w:t>され、自治体からの</w:t>
      </w:r>
      <w:r w:rsidR="008C11A2" w:rsidRPr="001D7B3B">
        <w:rPr>
          <w:rFonts w:ascii="ＭＳ ゴシック" w:hAnsi="ＭＳ ゴシック" w:hint="eastAsia"/>
        </w:rPr>
        <w:t>その</w:t>
      </w:r>
      <w:r w:rsidR="008C11A2" w:rsidRPr="00F94E4D">
        <w:rPr>
          <w:rFonts w:ascii="ＭＳ ゴシック" w:hAnsi="ＭＳ ゴシック" w:hint="eastAsia"/>
          <w:b/>
          <w:bCs/>
        </w:rPr>
        <w:t>生活の実態・中身を含めて行政の指導・</w:t>
      </w:r>
      <w:r w:rsidRPr="00F94E4D">
        <w:rPr>
          <w:rFonts w:ascii="ＭＳ ゴシック" w:hAnsi="ＭＳ ゴシック" w:hint="eastAsia"/>
          <w:b/>
          <w:bCs/>
        </w:rPr>
        <w:t>監査・監督を受ける公益事業</w:t>
      </w:r>
      <w:r w:rsidRPr="001D7B3B">
        <w:rPr>
          <w:rFonts w:ascii="ＭＳ ゴシック" w:hAnsi="ＭＳ ゴシック" w:hint="eastAsia"/>
        </w:rPr>
        <w:t>であり、厳しく法令により監視され、</w:t>
      </w:r>
      <w:r w:rsidR="008C11A2" w:rsidRPr="001D7B3B">
        <w:rPr>
          <w:rFonts w:ascii="ＭＳ ゴシック" w:hAnsi="ＭＳ ゴシック" w:hint="eastAsia"/>
        </w:rPr>
        <w:t>生活の中身</w:t>
      </w:r>
      <w:r w:rsidR="001D7B3B" w:rsidRPr="001D7B3B">
        <w:rPr>
          <w:rFonts w:ascii="ＭＳ ゴシック" w:hAnsi="ＭＳ ゴシック" w:hint="eastAsia"/>
        </w:rPr>
        <w:t>の</w:t>
      </w:r>
      <w:r w:rsidR="008C11A2" w:rsidRPr="001D7B3B">
        <w:rPr>
          <w:rFonts w:ascii="ＭＳ ゴシック" w:hAnsi="ＭＳ ゴシック" w:hint="eastAsia"/>
        </w:rPr>
        <w:t>監査を受けない一般の不動産賃貸事業に比べて安心・安全が保障されている。</w:t>
      </w:r>
    </w:p>
    <w:p w14:paraId="5D049D0D" w14:textId="59F5CDCA" w:rsidR="008C11A2" w:rsidRPr="001D7B3B" w:rsidRDefault="008C11A2"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当該管理組合は、この２５１戸の区分所有者のなかで転貸借が行われた場合、管理組合の承認決議を経ているのか</w:t>
      </w:r>
      <w:r w:rsidR="00647ECB" w:rsidRPr="001D7B3B">
        <w:rPr>
          <w:rFonts w:ascii="ＭＳ ゴシック" w:hAnsi="ＭＳ ゴシック" w:hint="eastAsia"/>
        </w:rPr>
        <w:t>（所有者以外が居住している戸は他にないのか）</w:t>
      </w:r>
      <w:r w:rsidRPr="001D7B3B">
        <w:rPr>
          <w:rFonts w:ascii="ＭＳ ゴシック" w:hAnsi="ＭＳ ゴシック" w:hint="eastAsia"/>
        </w:rPr>
        <w:t>？</w:t>
      </w:r>
    </w:p>
    <w:p w14:paraId="49102166" w14:textId="6FAED8A9" w:rsidR="008C11A2" w:rsidRPr="001D7B3B" w:rsidRDefault="008C11A2"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w:t>
      </w:r>
      <w:r w:rsidR="00647ECB" w:rsidRPr="001D7B3B">
        <w:rPr>
          <w:rFonts w:ascii="ＭＳ ゴシック" w:hAnsi="ＭＳ ゴシック" w:hint="eastAsia"/>
        </w:rPr>
        <w:t>承認決議</w:t>
      </w:r>
      <w:r w:rsidRPr="001D7B3B">
        <w:rPr>
          <w:rFonts w:ascii="ＭＳ ゴシック" w:hAnsi="ＭＳ ゴシック" w:hint="eastAsia"/>
        </w:rPr>
        <w:t>のない転貸借を行った場合、立ち退き決議を</w:t>
      </w:r>
      <w:r w:rsidR="00647ECB" w:rsidRPr="001D7B3B">
        <w:rPr>
          <w:rFonts w:ascii="ＭＳ ゴシック" w:hAnsi="ＭＳ ゴシック" w:hint="eastAsia"/>
        </w:rPr>
        <w:t>必ず</w:t>
      </w:r>
      <w:r w:rsidRPr="001D7B3B">
        <w:rPr>
          <w:rFonts w:ascii="ＭＳ ゴシック" w:hAnsi="ＭＳ ゴシック" w:hint="eastAsia"/>
        </w:rPr>
        <w:t>行っているのか？</w:t>
      </w:r>
    </w:p>
    <w:p w14:paraId="52341B19" w14:textId="70F70DC2" w:rsidR="00D75771" w:rsidRPr="001D7B3B" w:rsidRDefault="008C11A2" w:rsidP="001D7B3B">
      <w:pPr>
        <w:ind w:leftChars="-113" w:left="424" w:hangingChars="284" w:hanging="704"/>
        <w:jc w:val="left"/>
        <w:rPr>
          <w:rFonts w:ascii="ＭＳ ゴシック" w:hAnsi="ＭＳ ゴシック"/>
        </w:rPr>
      </w:pPr>
      <w:r w:rsidRPr="001D7B3B">
        <w:rPr>
          <w:rFonts w:ascii="ＭＳ ゴシック" w:hAnsi="ＭＳ ゴシック" w:hint="eastAsia"/>
        </w:rPr>
        <w:t xml:space="preserve">　　　　それが、障害のある転貸借契約とない転貸借契約の比較であろう。</w:t>
      </w:r>
      <w:r w:rsidR="00D75771" w:rsidRPr="001D7B3B">
        <w:rPr>
          <w:rFonts w:ascii="ＭＳ ゴシック" w:hAnsi="ＭＳ ゴシック" w:hint="eastAsia"/>
        </w:rPr>
        <w:t xml:space="preserve">　</w:t>
      </w:r>
    </w:p>
    <w:p w14:paraId="0AE39D83" w14:textId="259FB8C5" w:rsidR="008C11A2" w:rsidRDefault="00DB687F" w:rsidP="00DA5C2C">
      <w:pPr>
        <w:ind w:left="707" w:hangingChars="284" w:hanging="707"/>
        <w:jc w:val="left"/>
        <w:rPr>
          <w:rFonts w:ascii="ＭＳ ゴシック" w:hAnsi="ＭＳ ゴシック"/>
          <w:b/>
          <w:bCs/>
        </w:rPr>
      </w:pPr>
      <w:r>
        <w:rPr>
          <w:rFonts w:ascii="ＭＳ ゴシック" w:hAnsi="ＭＳ ゴシック" w:hint="eastAsia"/>
          <w:b/>
          <w:bCs/>
        </w:rPr>
        <w:t>二　管理組合の当該決議と決議に賛成した者</w:t>
      </w:r>
      <w:r w:rsidR="001D7B3B">
        <w:rPr>
          <w:rFonts w:ascii="ＭＳ ゴシック" w:hAnsi="ＭＳ ゴシック" w:hint="eastAsia"/>
          <w:b/>
          <w:bCs/>
        </w:rPr>
        <w:t>の</w:t>
      </w:r>
      <w:r>
        <w:rPr>
          <w:rFonts w:ascii="ＭＳ ゴシック" w:hAnsi="ＭＳ ゴシック" w:hint="eastAsia"/>
          <w:b/>
          <w:bCs/>
        </w:rPr>
        <w:t>差別解消法違反</w:t>
      </w:r>
      <w:r w:rsidR="001D7B3B">
        <w:rPr>
          <w:rFonts w:ascii="ＭＳ ゴシック" w:hAnsi="ＭＳ ゴシック" w:hint="eastAsia"/>
          <w:b/>
          <w:bCs/>
        </w:rPr>
        <w:t>の可否。</w:t>
      </w:r>
    </w:p>
    <w:p w14:paraId="1D887197" w14:textId="27F1335B" w:rsidR="00DB687F" w:rsidRDefault="00DB687F" w:rsidP="00DB687F">
      <w:pPr>
        <w:ind w:left="284" w:hangingChars="114" w:hanging="284"/>
        <w:jc w:val="left"/>
        <w:rPr>
          <w:rFonts w:ascii="ＭＳ ゴシック" w:hAnsi="ＭＳ ゴシック"/>
          <w:b/>
          <w:bCs/>
        </w:rPr>
      </w:pPr>
      <w:r>
        <w:rPr>
          <w:rFonts w:ascii="ＭＳ ゴシック" w:hAnsi="ＭＳ ゴシック" w:hint="eastAsia"/>
          <w:b/>
          <w:bCs/>
        </w:rPr>
        <w:t>三　障害者の居住する権利という保護法益も違法性審査の考慮事項に入れる</w:t>
      </w:r>
      <w:r w:rsidR="001D7B3B">
        <w:rPr>
          <w:rFonts w:ascii="ＭＳ ゴシック" w:hAnsi="ＭＳ ゴシック" w:hint="eastAsia"/>
          <w:b/>
          <w:bCs/>
        </w:rPr>
        <w:t>べき</w:t>
      </w:r>
    </w:p>
    <w:p w14:paraId="3BB538F6" w14:textId="1215E515" w:rsidR="00DB687F" w:rsidRDefault="00DB687F" w:rsidP="00DA5C2C">
      <w:pPr>
        <w:ind w:left="707" w:hangingChars="284" w:hanging="707"/>
        <w:jc w:val="left"/>
        <w:rPr>
          <w:rFonts w:ascii="ＭＳ ゴシック" w:hAnsi="ＭＳ ゴシック"/>
          <w:b/>
          <w:bCs/>
        </w:rPr>
      </w:pPr>
      <w:r>
        <w:rPr>
          <w:rFonts w:ascii="ＭＳ ゴシック" w:hAnsi="ＭＳ ゴシック" w:hint="eastAsia"/>
          <w:b/>
          <w:bCs/>
        </w:rPr>
        <w:t>四　立法論的検討</w:t>
      </w:r>
    </w:p>
    <w:p w14:paraId="66A37F5C" w14:textId="47DDC978" w:rsidR="00DB687F" w:rsidRDefault="00DB687F" w:rsidP="00DA5C2C">
      <w:pPr>
        <w:ind w:left="707" w:hangingChars="284" w:hanging="707"/>
        <w:jc w:val="left"/>
        <w:rPr>
          <w:rFonts w:ascii="ＭＳ ゴシック" w:hAnsi="ＭＳ ゴシック"/>
          <w:b/>
          <w:bCs/>
        </w:rPr>
      </w:pPr>
      <w:r>
        <w:rPr>
          <w:rFonts w:ascii="ＭＳ ゴシック" w:hAnsi="ＭＳ ゴシック" w:hint="eastAsia"/>
          <w:b/>
          <w:bCs/>
        </w:rPr>
        <w:t>五　障害</w:t>
      </w:r>
      <w:r w:rsidR="002309FD">
        <w:rPr>
          <w:rFonts w:ascii="ＭＳ ゴシック" w:hAnsi="ＭＳ ゴシック" w:hint="eastAsia"/>
          <w:b/>
          <w:bCs/>
        </w:rPr>
        <w:t>の</w:t>
      </w:r>
      <w:r>
        <w:rPr>
          <w:rFonts w:ascii="ＭＳ ゴシック" w:hAnsi="ＭＳ ゴシック" w:hint="eastAsia"/>
          <w:b/>
          <w:bCs/>
        </w:rPr>
        <w:t>ある人の居住の権利を守るための課題について</w:t>
      </w:r>
    </w:p>
    <w:p w14:paraId="328A25DC" w14:textId="50C8BBC2" w:rsidR="00DB687F" w:rsidRPr="00FB41ED" w:rsidRDefault="00DB687F" w:rsidP="00DB687F">
      <w:pPr>
        <w:jc w:val="right"/>
        <w:rPr>
          <w:rFonts w:ascii="ＭＳ ゴシック" w:hAnsi="ＭＳ ゴシック"/>
          <w:b/>
          <w:bCs/>
        </w:rPr>
      </w:pPr>
      <w:r>
        <w:rPr>
          <w:rFonts w:ascii="ＭＳ ゴシック" w:hAnsi="ＭＳ ゴシック" w:hint="eastAsia"/>
          <w:b/>
          <w:bCs/>
        </w:rPr>
        <w:t>以上</w:t>
      </w:r>
    </w:p>
    <w:sectPr w:rsidR="00DB687F" w:rsidRPr="00FB41ED" w:rsidSect="00DB687F">
      <w:footerReference w:type="default" r:id="rId7"/>
      <w:type w:val="continuous"/>
      <w:pgSz w:w="11907" w:h="16840" w:code="9"/>
      <w:pgMar w:top="1418" w:right="851" w:bottom="1134" w:left="851" w:header="851" w:footer="851" w:gutter="284"/>
      <w:cols w:space="425"/>
      <w:docGrid w:type="linesAndChars" w:linePitch="369"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3348" w14:textId="77777777" w:rsidR="00757BF3" w:rsidRDefault="00757BF3" w:rsidP="00757BF3">
      <w:r>
        <w:separator/>
      </w:r>
    </w:p>
  </w:endnote>
  <w:endnote w:type="continuationSeparator" w:id="0">
    <w:p w14:paraId="2682AC50" w14:textId="77777777" w:rsidR="00757BF3" w:rsidRDefault="00757BF3" w:rsidP="0075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69921"/>
      <w:docPartObj>
        <w:docPartGallery w:val="Page Numbers (Bottom of Page)"/>
        <w:docPartUnique/>
      </w:docPartObj>
    </w:sdtPr>
    <w:sdtEndPr/>
    <w:sdtContent>
      <w:p w14:paraId="4CFF5831" w14:textId="0F0D6315" w:rsidR="006C307D" w:rsidRDefault="006C307D">
        <w:pPr>
          <w:pStyle w:val="a5"/>
          <w:jc w:val="center"/>
        </w:pPr>
        <w:r>
          <w:fldChar w:fldCharType="begin"/>
        </w:r>
        <w:r>
          <w:instrText>PAGE   \* MERGEFORMAT</w:instrText>
        </w:r>
        <w:r>
          <w:fldChar w:fldCharType="separate"/>
        </w:r>
        <w:r>
          <w:rPr>
            <w:lang w:val="ja-JP"/>
          </w:rPr>
          <w:t>2</w:t>
        </w:r>
        <w:r>
          <w:fldChar w:fldCharType="end"/>
        </w:r>
      </w:p>
    </w:sdtContent>
  </w:sdt>
  <w:p w14:paraId="21BC3E70" w14:textId="77777777" w:rsidR="006C307D" w:rsidRDefault="006C3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E09B" w14:textId="77777777" w:rsidR="00757BF3" w:rsidRDefault="00757BF3" w:rsidP="00757BF3">
      <w:r>
        <w:separator/>
      </w:r>
    </w:p>
  </w:footnote>
  <w:footnote w:type="continuationSeparator" w:id="0">
    <w:p w14:paraId="0768A2E4" w14:textId="77777777" w:rsidR="00757BF3" w:rsidRDefault="00757BF3" w:rsidP="00757BF3">
      <w:r>
        <w:continuationSeparator/>
      </w:r>
    </w:p>
  </w:footnote>
  <w:footnote w:id="1">
    <w:p w14:paraId="1D5894E7" w14:textId="4E27C278" w:rsidR="00EE3029" w:rsidRDefault="00EE3029">
      <w:pPr>
        <w:pStyle w:val="ab"/>
      </w:pPr>
      <w:r>
        <w:rPr>
          <w:rStyle w:val="ad"/>
        </w:rPr>
        <w:footnoteRef/>
      </w:r>
      <w:r>
        <w:t xml:space="preserve"> </w:t>
      </w:r>
      <w:r w:rsidRPr="00EE3029">
        <w:rPr>
          <w:rFonts w:ascii="ＭＳ ゴシック" w:hAnsi="ＭＳ ゴシック" w:hint="eastAsia"/>
          <w:sz w:val="18"/>
          <w:szCs w:val="18"/>
        </w:rPr>
        <w:t>1989年6月</w:t>
      </w:r>
      <w:r w:rsidRPr="00EE3029">
        <w:rPr>
          <w:rFonts w:ascii="ＭＳ ゴシック" w:hAnsi="ＭＳ ゴシック"/>
          <w:sz w:val="18"/>
          <w:szCs w:val="18"/>
        </w:rPr>
        <w:t>厚生省児童家庭局障害福祉課</w:t>
      </w:r>
      <w:r w:rsidRPr="00EE3029">
        <w:rPr>
          <w:rFonts w:ascii="ＭＳ ゴシック" w:hAnsi="ＭＳ ゴシック" w:hint="eastAsia"/>
          <w:sz w:val="18"/>
          <w:szCs w:val="18"/>
        </w:rPr>
        <w:t>・精神薄弱者地域生活援助事業グループホーム）設置・運営マニュアル</w:t>
      </w:r>
    </w:p>
  </w:footnote>
  <w:footnote w:id="2">
    <w:p w14:paraId="27FF26A9" w14:textId="273F8C33" w:rsidR="00432070" w:rsidRPr="00432070" w:rsidRDefault="00432070" w:rsidP="00432070">
      <w:pPr>
        <w:pStyle w:val="ab"/>
        <w:rPr>
          <w:rFonts w:ascii="ＭＳ ゴシック" w:hAnsi="ＭＳ ゴシック"/>
          <w:sz w:val="18"/>
          <w:szCs w:val="18"/>
        </w:rPr>
      </w:pPr>
      <w:r w:rsidRPr="00432070">
        <w:rPr>
          <w:rStyle w:val="ad"/>
          <w:rFonts w:ascii="ＭＳ ゴシック" w:hAnsi="ＭＳ ゴシック"/>
          <w:sz w:val="18"/>
          <w:szCs w:val="18"/>
        </w:rPr>
        <w:footnoteRef/>
      </w:r>
      <w:r w:rsidRPr="00432070">
        <w:rPr>
          <w:rFonts w:ascii="ＭＳ ゴシック" w:hAnsi="ＭＳ ゴシック"/>
          <w:sz w:val="18"/>
          <w:szCs w:val="18"/>
        </w:rPr>
        <w:t xml:space="preserve"> </w:t>
      </w:r>
      <w:r w:rsidRPr="00432070">
        <w:rPr>
          <w:rFonts w:ascii="ＭＳ ゴシック" w:hAnsi="ＭＳ ゴシック" w:hint="eastAsia"/>
          <w:sz w:val="18"/>
          <w:szCs w:val="18"/>
        </w:rPr>
        <w:t>平成18年厚生労働省令第171号障害者の日常生活及び社会生活を総合的に支援するための法律に基づく指定障害福祉サービスの事業等の人員、設備及び運営に関する基準</w:t>
      </w:r>
      <w:r>
        <w:rPr>
          <w:rFonts w:ascii="ＭＳ ゴシック" w:hAnsi="ＭＳ ゴシック" w:hint="eastAsia"/>
          <w:sz w:val="18"/>
          <w:szCs w:val="18"/>
        </w:rPr>
        <w:t>210条</w:t>
      </w:r>
      <w:r w:rsidR="00216BDA">
        <w:rPr>
          <w:rFonts w:ascii="ＭＳ ゴシック" w:hAnsi="ＭＳ ゴシック" w:hint="eastAsia"/>
          <w:sz w:val="18"/>
          <w:szCs w:val="18"/>
        </w:rPr>
        <w:t>4項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36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C3"/>
    <w:rsid w:val="00004090"/>
    <w:rsid w:val="000B2B3B"/>
    <w:rsid w:val="000E2F1F"/>
    <w:rsid w:val="00116F63"/>
    <w:rsid w:val="0012668B"/>
    <w:rsid w:val="001434F7"/>
    <w:rsid w:val="00195353"/>
    <w:rsid w:val="001B3F71"/>
    <w:rsid w:val="001D7B3B"/>
    <w:rsid w:val="00216BDA"/>
    <w:rsid w:val="002209C3"/>
    <w:rsid w:val="00220EC9"/>
    <w:rsid w:val="002309FD"/>
    <w:rsid w:val="002625ED"/>
    <w:rsid w:val="00301B0C"/>
    <w:rsid w:val="003B7531"/>
    <w:rsid w:val="00422EC9"/>
    <w:rsid w:val="00432070"/>
    <w:rsid w:val="00453D85"/>
    <w:rsid w:val="00460B8F"/>
    <w:rsid w:val="0046612A"/>
    <w:rsid w:val="00484A92"/>
    <w:rsid w:val="004E779D"/>
    <w:rsid w:val="005F043F"/>
    <w:rsid w:val="00647BB2"/>
    <w:rsid w:val="00647ECB"/>
    <w:rsid w:val="006650EE"/>
    <w:rsid w:val="00675806"/>
    <w:rsid w:val="006A20E1"/>
    <w:rsid w:val="006C307D"/>
    <w:rsid w:val="00701DB2"/>
    <w:rsid w:val="00757BF3"/>
    <w:rsid w:val="00762C03"/>
    <w:rsid w:val="00891B2C"/>
    <w:rsid w:val="008C11A2"/>
    <w:rsid w:val="008F4BBF"/>
    <w:rsid w:val="00924D82"/>
    <w:rsid w:val="009313A6"/>
    <w:rsid w:val="0096167F"/>
    <w:rsid w:val="00981B60"/>
    <w:rsid w:val="00997FF5"/>
    <w:rsid w:val="009D1BC9"/>
    <w:rsid w:val="00A22BE3"/>
    <w:rsid w:val="00A22ECE"/>
    <w:rsid w:val="00A54C25"/>
    <w:rsid w:val="00AE20F1"/>
    <w:rsid w:val="00AE5521"/>
    <w:rsid w:val="00B04C94"/>
    <w:rsid w:val="00B53658"/>
    <w:rsid w:val="00B772A3"/>
    <w:rsid w:val="00BB00A1"/>
    <w:rsid w:val="00C043A1"/>
    <w:rsid w:val="00CB5222"/>
    <w:rsid w:val="00D54741"/>
    <w:rsid w:val="00D75771"/>
    <w:rsid w:val="00DA5C2C"/>
    <w:rsid w:val="00DB687F"/>
    <w:rsid w:val="00E0751A"/>
    <w:rsid w:val="00EE3029"/>
    <w:rsid w:val="00F94E4D"/>
    <w:rsid w:val="00FA01FD"/>
    <w:rsid w:val="00FA32A6"/>
    <w:rsid w:val="00FB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572A0D"/>
  <w15:chartTrackingRefBased/>
  <w15:docId w15:val="{6E20AAC0-8CAD-4052-991C-3056885E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B8F"/>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
    <w:name w:val="（1）（2）（3）"/>
    <w:basedOn w:val="a"/>
    <w:next w:val="a"/>
    <w:link w:val="1230"/>
    <w:qFormat/>
    <w:rsid w:val="00195353"/>
    <w:pPr>
      <w:ind w:rightChars="-52" w:right="-113"/>
      <w:contextualSpacing/>
    </w:pPr>
    <w:rPr>
      <w:rFonts w:ascii="UD デジタル 教科書体 NP-B" w:eastAsia="UD デジタル 教科書体 NP-B"/>
      <w:bCs/>
    </w:rPr>
  </w:style>
  <w:style w:type="character" w:customStyle="1" w:styleId="1230">
    <w:name w:val="（1）（2）（3） (文字)"/>
    <w:basedOn w:val="a0"/>
    <w:link w:val="123"/>
    <w:rsid w:val="00195353"/>
    <w:rPr>
      <w:rFonts w:ascii="UD デジタル 教科書体 NP-B" w:eastAsia="UD デジタル 教科書体 NP-B"/>
      <w:bCs/>
    </w:rPr>
  </w:style>
  <w:style w:type="paragraph" w:styleId="a3">
    <w:name w:val="header"/>
    <w:basedOn w:val="a"/>
    <w:link w:val="a4"/>
    <w:uiPriority w:val="99"/>
    <w:unhideWhenUsed/>
    <w:rsid w:val="00757BF3"/>
    <w:pPr>
      <w:tabs>
        <w:tab w:val="center" w:pos="4252"/>
        <w:tab w:val="right" w:pos="8504"/>
      </w:tabs>
      <w:snapToGrid w:val="0"/>
    </w:pPr>
  </w:style>
  <w:style w:type="character" w:customStyle="1" w:styleId="a4">
    <w:name w:val="ヘッダー (文字)"/>
    <w:basedOn w:val="a0"/>
    <w:link w:val="a3"/>
    <w:uiPriority w:val="99"/>
    <w:rsid w:val="00757BF3"/>
    <w:rPr>
      <w:rFonts w:eastAsia="ＭＳ ゴシック"/>
      <w:sz w:val="24"/>
    </w:rPr>
  </w:style>
  <w:style w:type="paragraph" w:styleId="a5">
    <w:name w:val="footer"/>
    <w:basedOn w:val="a"/>
    <w:link w:val="a6"/>
    <w:uiPriority w:val="99"/>
    <w:unhideWhenUsed/>
    <w:rsid w:val="00757BF3"/>
    <w:pPr>
      <w:tabs>
        <w:tab w:val="center" w:pos="4252"/>
        <w:tab w:val="right" w:pos="8504"/>
      </w:tabs>
      <w:snapToGrid w:val="0"/>
    </w:pPr>
  </w:style>
  <w:style w:type="character" w:customStyle="1" w:styleId="a6">
    <w:name w:val="フッター (文字)"/>
    <w:basedOn w:val="a0"/>
    <w:link w:val="a5"/>
    <w:uiPriority w:val="99"/>
    <w:rsid w:val="00757BF3"/>
    <w:rPr>
      <w:rFonts w:eastAsia="ＭＳ ゴシック"/>
      <w:sz w:val="24"/>
    </w:rPr>
  </w:style>
  <w:style w:type="paragraph" w:styleId="a7">
    <w:name w:val="Date"/>
    <w:basedOn w:val="a"/>
    <w:next w:val="a"/>
    <w:link w:val="a8"/>
    <w:uiPriority w:val="99"/>
    <w:semiHidden/>
    <w:unhideWhenUsed/>
    <w:rsid w:val="006A20E1"/>
  </w:style>
  <w:style w:type="character" w:customStyle="1" w:styleId="a8">
    <w:name w:val="日付 (文字)"/>
    <w:basedOn w:val="a0"/>
    <w:link w:val="a7"/>
    <w:uiPriority w:val="99"/>
    <w:semiHidden/>
    <w:rsid w:val="006A20E1"/>
    <w:rPr>
      <w:rFonts w:eastAsia="ＭＳ ゴシック"/>
      <w:sz w:val="24"/>
    </w:rPr>
  </w:style>
  <w:style w:type="character" w:styleId="a9">
    <w:name w:val="Hyperlink"/>
    <w:basedOn w:val="a0"/>
    <w:uiPriority w:val="99"/>
    <w:unhideWhenUsed/>
    <w:rsid w:val="0012668B"/>
    <w:rPr>
      <w:color w:val="0000FF"/>
      <w:u w:val="single"/>
    </w:rPr>
  </w:style>
  <w:style w:type="table" w:styleId="aa">
    <w:name w:val="Table Grid"/>
    <w:basedOn w:val="a1"/>
    <w:uiPriority w:val="39"/>
    <w:rsid w:val="00F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E3029"/>
    <w:pPr>
      <w:snapToGrid w:val="0"/>
      <w:jc w:val="left"/>
    </w:pPr>
  </w:style>
  <w:style w:type="character" w:customStyle="1" w:styleId="ac">
    <w:name w:val="脚注文字列 (文字)"/>
    <w:basedOn w:val="a0"/>
    <w:link w:val="ab"/>
    <w:uiPriority w:val="99"/>
    <w:semiHidden/>
    <w:rsid w:val="00EE3029"/>
    <w:rPr>
      <w:rFonts w:eastAsia="ＭＳ ゴシック"/>
      <w:sz w:val="24"/>
    </w:rPr>
  </w:style>
  <w:style w:type="character" w:styleId="ad">
    <w:name w:val="footnote reference"/>
    <w:basedOn w:val="a0"/>
    <w:uiPriority w:val="99"/>
    <w:semiHidden/>
    <w:unhideWhenUsed/>
    <w:rsid w:val="00EE3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417">
      <w:bodyDiv w:val="1"/>
      <w:marLeft w:val="0"/>
      <w:marRight w:val="0"/>
      <w:marTop w:val="0"/>
      <w:marBottom w:val="0"/>
      <w:divBdr>
        <w:top w:val="none" w:sz="0" w:space="0" w:color="auto"/>
        <w:left w:val="none" w:sz="0" w:space="0" w:color="auto"/>
        <w:bottom w:val="none" w:sz="0" w:space="0" w:color="auto"/>
        <w:right w:val="none" w:sz="0" w:space="0" w:color="auto"/>
      </w:divBdr>
    </w:div>
    <w:div w:id="20041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E611-CE0B-4051-A3BC-F566CDD6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藤岡毅法律事務所</dc:creator>
  <cp:keywords/>
  <dc:description/>
  <cp:lastModifiedBy>藤岡毅法律事務所</cp:lastModifiedBy>
  <cp:revision>14</cp:revision>
  <cp:lastPrinted>2022-09-25T06:55:00Z</cp:lastPrinted>
  <dcterms:created xsi:type="dcterms:W3CDTF">2022-09-25T05:36:00Z</dcterms:created>
  <dcterms:modified xsi:type="dcterms:W3CDTF">2022-10-19T05:21:00Z</dcterms:modified>
</cp:coreProperties>
</file>