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E6F1" w14:textId="09080576" w:rsidR="004627B3" w:rsidRPr="004627B3" w:rsidRDefault="004627B3" w:rsidP="00412E2C">
      <w:pPr>
        <w:rPr>
          <w:rFonts w:eastAsiaTheme="minorHAnsi"/>
        </w:rPr>
      </w:pPr>
      <w:r w:rsidRPr="004627B3">
        <w:rPr>
          <w:rFonts w:eastAsiaTheme="minorHAnsi" w:hint="eastAsia"/>
        </w:rPr>
        <w:t>2024年11月2日</w:t>
      </w:r>
    </w:p>
    <w:p w14:paraId="4FE8C891" w14:textId="77777777" w:rsidR="00A55247" w:rsidRDefault="00412E2C" w:rsidP="00412E2C">
      <w:pPr>
        <w:rPr>
          <w:rFonts w:eastAsiaTheme="minorHAnsi"/>
        </w:rPr>
      </w:pPr>
      <w:r w:rsidRPr="004627B3">
        <w:rPr>
          <w:rFonts w:eastAsiaTheme="minorHAnsi" w:hint="eastAsia"/>
        </w:rPr>
        <w:t>第９回 日本障害法学会研究大会</w:t>
      </w:r>
    </w:p>
    <w:p w14:paraId="5859C10E" w14:textId="23961678" w:rsidR="00412E2C" w:rsidRPr="004627B3" w:rsidRDefault="00412E2C" w:rsidP="00412E2C">
      <w:pPr>
        <w:rPr>
          <w:rFonts w:eastAsiaTheme="minorHAnsi"/>
        </w:rPr>
      </w:pPr>
      <w:r w:rsidRPr="004627B3">
        <w:rPr>
          <w:rFonts w:eastAsiaTheme="minorHAnsi" w:hint="eastAsia"/>
        </w:rPr>
        <w:t>シンポジウム（２）</w:t>
      </w:r>
      <w:r w:rsidR="00A55247">
        <w:rPr>
          <w:rFonts w:eastAsiaTheme="minorHAnsi" w:hint="eastAsia"/>
        </w:rPr>
        <w:t>国内人権機関と障害法</w:t>
      </w:r>
    </w:p>
    <w:p w14:paraId="37C13EBC" w14:textId="77777777" w:rsidR="00412E2C" w:rsidRPr="004627B3" w:rsidRDefault="00412E2C" w:rsidP="00412E2C">
      <w:pPr>
        <w:rPr>
          <w:rFonts w:eastAsiaTheme="minorHAnsi"/>
        </w:rPr>
      </w:pPr>
    </w:p>
    <w:p w14:paraId="4B006C34" w14:textId="0F33228D" w:rsidR="00412E2C" w:rsidRPr="00C7456F" w:rsidRDefault="00412E2C" w:rsidP="004627B3">
      <w:pPr>
        <w:jc w:val="center"/>
        <w:rPr>
          <w:rFonts w:eastAsiaTheme="minorHAnsi"/>
          <w:sz w:val="28"/>
          <w:szCs w:val="28"/>
        </w:rPr>
      </w:pPr>
      <w:r w:rsidRPr="00C7456F">
        <w:rPr>
          <w:rFonts w:eastAsiaTheme="minorHAnsi" w:hint="eastAsia"/>
          <w:sz w:val="28"/>
          <w:szCs w:val="28"/>
        </w:rPr>
        <w:t>国内監視枠組みとしての国内人権機関</w:t>
      </w:r>
    </w:p>
    <w:p w14:paraId="480F84F1" w14:textId="5EF57B87" w:rsidR="00783264" w:rsidRPr="004A0B15" w:rsidRDefault="00412E2C" w:rsidP="00EF3F5D">
      <w:pPr>
        <w:jc w:val="right"/>
        <w:rPr>
          <w:rFonts w:eastAsiaTheme="minorHAnsi"/>
          <w:sz w:val="28"/>
          <w:szCs w:val="28"/>
        </w:rPr>
      </w:pPr>
      <w:r w:rsidRPr="004A0B15">
        <w:rPr>
          <w:rFonts w:eastAsiaTheme="minorHAnsi" w:hint="eastAsia"/>
          <w:sz w:val="28"/>
          <w:szCs w:val="28"/>
        </w:rPr>
        <w:t>石川准</w:t>
      </w:r>
    </w:p>
    <w:p w14:paraId="62D4A256" w14:textId="6D44F98C" w:rsidR="00EF3F5D" w:rsidRPr="00C7456F" w:rsidRDefault="00EF3F5D" w:rsidP="00C7456F">
      <w:pPr>
        <w:pStyle w:val="1"/>
      </w:pPr>
      <w:r w:rsidRPr="00C7456F">
        <w:t>国内監視枠組みの役割</w:t>
      </w:r>
    </w:p>
    <w:p w14:paraId="392FC4DA" w14:textId="3E742DD8" w:rsidR="00EF3F5D" w:rsidRPr="00EF3F5D" w:rsidRDefault="00EF3F5D" w:rsidP="00EF3F5D">
      <w:pPr>
        <w:ind w:firstLineChars="100" w:firstLine="210"/>
        <w:jc w:val="left"/>
        <w:rPr>
          <w:rFonts w:eastAsiaTheme="minorHAnsi"/>
        </w:rPr>
      </w:pPr>
      <w:r w:rsidRPr="00EF3F5D">
        <w:rPr>
          <w:rFonts w:eastAsiaTheme="minorHAnsi" w:hint="eastAsia"/>
        </w:rPr>
        <w:t>障害者権利条約</w:t>
      </w:r>
      <w:r>
        <w:rPr>
          <w:rFonts w:eastAsiaTheme="minorHAnsi" w:hint="eastAsia"/>
        </w:rPr>
        <w:t>（</w:t>
      </w:r>
      <w:r w:rsidRPr="00EF3F5D">
        <w:rPr>
          <w:rFonts w:eastAsiaTheme="minorHAnsi"/>
        </w:rPr>
        <w:t>CRPD</w:t>
      </w:r>
      <w:r>
        <w:rPr>
          <w:rFonts w:eastAsiaTheme="minorHAnsi" w:hint="eastAsia"/>
        </w:rPr>
        <w:t>）</w:t>
      </w:r>
      <w:r w:rsidRPr="00EF3F5D">
        <w:rPr>
          <w:rFonts w:eastAsiaTheme="minorHAnsi"/>
        </w:rPr>
        <w:t>第33条では、締約国に対して条約の実施状況を国内で監視するための国内監視枠組み</w:t>
      </w:r>
      <w:r>
        <w:rPr>
          <w:rFonts w:eastAsiaTheme="minorHAnsi" w:hint="eastAsia"/>
        </w:rPr>
        <w:t>（</w:t>
      </w:r>
      <w:r w:rsidRPr="00EF3F5D">
        <w:rPr>
          <w:rFonts w:eastAsiaTheme="minorHAnsi"/>
        </w:rPr>
        <w:t>Independent Monitoring Mechanism</w:t>
      </w:r>
      <w:r>
        <w:rPr>
          <w:rFonts w:eastAsiaTheme="minorHAnsi" w:hint="eastAsia"/>
        </w:rPr>
        <w:t>）</w:t>
      </w:r>
      <w:r w:rsidRPr="00EF3F5D">
        <w:rPr>
          <w:rFonts w:eastAsiaTheme="minorHAnsi"/>
        </w:rPr>
        <w:t>を設置することが義務付けられている。</w:t>
      </w:r>
    </w:p>
    <w:p w14:paraId="217C2C1A" w14:textId="3A215918" w:rsidR="00EF3F5D" w:rsidRPr="004A0B15" w:rsidRDefault="00EF3F5D" w:rsidP="004A0B15">
      <w:pPr>
        <w:pStyle w:val="a9"/>
        <w:numPr>
          <w:ilvl w:val="0"/>
          <w:numId w:val="26"/>
        </w:numPr>
        <w:jc w:val="left"/>
        <w:rPr>
          <w:rFonts w:eastAsiaTheme="minorHAnsi"/>
        </w:rPr>
      </w:pPr>
      <w:r w:rsidRPr="004A0B15">
        <w:rPr>
          <w:rFonts w:eastAsiaTheme="minorHAnsi"/>
        </w:rPr>
        <w:t>実施状況のモニタリング</w:t>
      </w:r>
    </w:p>
    <w:p w14:paraId="33B49838" w14:textId="77777777" w:rsidR="00EF3F5D" w:rsidRPr="00EF3F5D" w:rsidRDefault="00EF3F5D" w:rsidP="00EF3F5D">
      <w:pPr>
        <w:ind w:firstLineChars="100" w:firstLine="210"/>
        <w:jc w:val="left"/>
        <w:rPr>
          <w:rFonts w:eastAsiaTheme="minorHAnsi"/>
        </w:rPr>
      </w:pPr>
      <w:r w:rsidRPr="00EF3F5D">
        <w:rPr>
          <w:rFonts w:eastAsiaTheme="minorHAnsi" w:hint="eastAsia"/>
        </w:rPr>
        <w:t>国内監視枠組みは、障害者権利条約が国内で適切に実施されているかを監視する役割を担う。これは、政府が条約に基づく義務を履行しているかどうかを評価することである。具体的には、法律、政策、慣行が障害者の権利を保護し、促進するものであるかを確認する。</w:t>
      </w:r>
    </w:p>
    <w:p w14:paraId="6CBDE95C" w14:textId="0BAAAA5F" w:rsidR="00EF3F5D" w:rsidRPr="004A0B15" w:rsidRDefault="00EF3F5D" w:rsidP="004A0B15">
      <w:pPr>
        <w:pStyle w:val="a9"/>
        <w:numPr>
          <w:ilvl w:val="0"/>
          <w:numId w:val="26"/>
        </w:numPr>
        <w:jc w:val="left"/>
        <w:rPr>
          <w:rFonts w:eastAsiaTheme="minorHAnsi"/>
        </w:rPr>
      </w:pPr>
      <w:r w:rsidRPr="004A0B15">
        <w:rPr>
          <w:rFonts w:eastAsiaTheme="minorHAnsi"/>
        </w:rPr>
        <w:t>独立した報告</w:t>
      </w:r>
    </w:p>
    <w:p w14:paraId="4CAE4D21" w14:textId="77777777" w:rsidR="00EF3F5D" w:rsidRPr="00EF3F5D" w:rsidRDefault="00EF3F5D" w:rsidP="00EF3F5D">
      <w:pPr>
        <w:ind w:firstLineChars="100" w:firstLine="210"/>
        <w:jc w:val="left"/>
        <w:rPr>
          <w:rFonts w:eastAsiaTheme="minorHAnsi"/>
        </w:rPr>
      </w:pPr>
      <w:r w:rsidRPr="00EF3F5D">
        <w:rPr>
          <w:rFonts w:eastAsiaTheme="minorHAnsi" w:hint="eastAsia"/>
        </w:rPr>
        <w:t>国内監視枠組みは、障害者権利委員会への報告プロセスにおいて、独立した報告書を作成し提出することが求められている。これは、政府による公式の報告書とは別に、国内監視枠組みが行ったモニタリングに基づく評価を示すものであり、条約の実施状況についてより包括的な視点を提供する。この報告書は、障害者当事者の意見やニーズを反映し、政府の取り組みの不足点や課題を指摘する役割を果たす。</w:t>
      </w:r>
    </w:p>
    <w:p w14:paraId="6EE2A35F" w14:textId="250C2F04" w:rsidR="00EF3F5D" w:rsidRPr="004A0B15" w:rsidRDefault="00EF3F5D" w:rsidP="004A0B15">
      <w:pPr>
        <w:pStyle w:val="a9"/>
        <w:numPr>
          <w:ilvl w:val="0"/>
          <w:numId w:val="26"/>
        </w:numPr>
        <w:jc w:val="left"/>
        <w:rPr>
          <w:rFonts w:eastAsiaTheme="minorHAnsi"/>
        </w:rPr>
      </w:pPr>
      <w:r w:rsidRPr="004A0B15">
        <w:rPr>
          <w:rFonts w:eastAsiaTheme="minorHAnsi"/>
        </w:rPr>
        <w:t>障害者団体との連携</w:t>
      </w:r>
    </w:p>
    <w:p w14:paraId="07A25A18" w14:textId="77777777" w:rsidR="00EF3F5D" w:rsidRPr="00EF3F5D" w:rsidRDefault="00EF3F5D" w:rsidP="00EF3F5D">
      <w:pPr>
        <w:ind w:firstLineChars="100" w:firstLine="210"/>
        <w:jc w:val="left"/>
        <w:rPr>
          <w:rFonts w:eastAsiaTheme="minorHAnsi"/>
        </w:rPr>
      </w:pPr>
      <w:r w:rsidRPr="00EF3F5D">
        <w:rPr>
          <w:rFonts w:eastAsiaTheme="minorHAnsi" w:hint="eastAsia"/>
        </w:rPr>
        <w:t>国内監視枠組みは、障害者団体と協力し、彼らが直面している課題や条約実施の実態に関する情報を収集し、審査プロセスに反映させる。</w:t>
      </w:r>
    </w:p>
    <w:p w14:paraId="5A49EBD2" w14:textId="5A2ABF73" w:rsidR="00EF3F5D" w:rsidRPr="004A0B15" w:rsidRDefault="00EF3F5D" w:rsidP="004A0B15">
      <w:pPr>
        <w:pStyle w:val="a9"/>
        <w:numPr>
          <w:ilvl w:val="0"/>
          <w:numId w:val="26"/>
        </w:numPr>
        <w:jc w:val="left"/>
        <w:rPr>
          <w:rFonts w:eastAsiaTheme="minorHAnsi"/>
        </w:rPr>
      </w:pPr>
      <w:r w:rsidRPr="004A0B15">
        <w:rPr>
          <w:rFonts w:eastAsiaTheme="minorHAnsi"/>
        </w:rPr>
        <w:t>政策提言と改善の促進</w:t>
      </w:r>
    </w:p>
    <w:p w14:paraId="60E8BAB8" w14:textId="11C2D839" w:rsidR="00EF3F5D" w:rsidRPr="00EF3F5D" w:rsidRDefault="00EF3F5D" w:rsidP="00EF3F5D">
      <w:pPr>
        <w:ind w:firstLineChars="100" w:firstLine="210"/>
        <w:jc w:val="left"/>
        <w:rPr>
          <w:rFonts w:eastAsiaTheme="minorHAnsi"/>
        </w:rPr>
      </w:pPr>
      <w:r w:rsidRPr="00EF3F5D">
        <w:rPr>
          <w:rFonts w:eastAsiaTheme="minorHAnsi" w:hint="eastAsia"/>
        </w:rPr>
        <w:t>国内監視枠組みは、モニタリングを通じて得られた情報に基づき、政府に対して政策改善の提言を行う役割も担う。</w:t>
      </w:r>
    </w:p>
    <w:p w14:paraId="2720EECA" w14:textId="5E023980" w:rsidR="00EF3F5D" w:rsidRPr="004A0B15" w:rsidRDefault="00EF3F5D" w:rsidP="004A0B15">
      <w:pPr>
        <w:pStyle w:val="a9"/>
        <w:numPr>
          <w:ilvl w:val="0"/>
          <w:numId w:val="26"/>
        </w:numPr>
        <w:jc w:val="left"/>
        <w:rPr>
          <w:rFonts w:eastAsiaTheme="minorHAnsi"/>
        </w:rPr>
      </w:pPr>
      <w:r w:rsidRPr="004A0B15">
        <w:rPr>
          <w:rFonts w:eastAsiaTheme="minorHAnsi"/>
        </w:rPr>
        <w:t>審査の準備と参加</w:t>
      </w:r>
    </w:p>
    <w:p w14:paraId="35759333" w14:textId="77777777" w:rsidR="00EF3F5D" w:rsidRPr="00EF3F5D" w:rsidRDefault="00EF3F5D" w:rsidP="00EF3F5D">
      <w:pPr>
        <w:ind w:firstLineChars="100" w:firstLine="210"/>
        <w:jc w:val="left"/>
        <w:rPr>
          <w:rFonts w:eastAsiaTheme="minorHAnsi"/>
        </w:rPr>
      </w:pPr>
      <w:r w:rsidRPr="00EF3F5D">
        <w:rPr>
          <w:rFonts w:eastAsiaTheme="minorHAnsi" w:hint="eastAsia"/>
        </w:rPr>
        <w:t>障害者権利委員会が各国の実施状況を審査する際、国内監視枠組みは重要な情報源として機能する。委員会の審査に際して、国内監視枠組みは自身の評価や提言を提供し、政府の公式な報告書に対する補完的な視点を提供する。また、監視枠組みは障害者権利委員会の建設的対話やプライベートブリーフィングにも参加し、意見を述べることができる。</w:t>
      </w:r>
    </w:p>
    <w:p w14:paraId="6F6BA094" w14:textId="4E6EC8BB" w:rsidR="00EF3F5D" w:rsidRPr="004A0B15" w:rsidRDefault="00EF3F5D" w:rsidP="004A0B15">
      <w:pPr>
        <w:pStyle w:val="a9"/>
        <w:numPr>
          <w:ilvl w:val="0"/>
          <w:numId w:val="26"/>
        </w:numPr>
        <w:jc w:val="left"/>
        <w:rPr>
          <w:rFonts w:eastAsiaTheme="minorHAnsi"/>
        </w:rPr>
      </w:pPr>
      <w:r w:rsidRPr="004A0B15">
        <w:rPr>
          <w:rFonts w:eastAsiaTheme="minorHAnsi"/>
        </w:rPr>
        <w:lastRenderedPageBreak/>
        <w:t>持続的な監視とフィードバックの提供</w:t>
      </w:r>
    </w:p>
    <w:p w14:paraId="7D0C1A15" w14:textId="0F55B983" w:rsidR="00EF3F5D" w:rsidRPr="00EF3F5D" w:rsidRDefault="00EF3F5D" w:rsidP="004A0B15">
      <w:pPr>
        <w:ind w:firstLineChars="100" w:firstLine="210"/>
        <w:jc w:val="left"/>
        <w:rPr>
          <w:rFonts w:eastAsiaTheme="minorHAnsi"/>
        </w:rPr>
      </w:pPr>
      <w:r w:rsidRPr="00EF3F5D">
        <w:rPr>
          <w:rFonts w:eastAsiaTheme="minorHAnsi" w:hint="eastAsia"/>
        </w:rPr>
        <w:t>条約の実施は一度限りではなく、継続的に監視されるべきものである。国内監視枠組みは、政府が条約の実施に向けて行った改善措置を定期的に監視し、その進捗を評価する。また、障害者権利委員会が出した</w:t>
      </w:r>
      <w:r w:rsidRPr="00D80C06">
        <w:rPr>
          <w:rFonts w:eastAsiaTheme="minorHAnsi" w:hint="eastAsia"/>
        </w:rPr>
        <w:t>勧告</w:t>
      </w:r>
      <w:r w:rsidRPr="00EF3F5D">
        <w:rPr>
          <w:rFonts w:eastAsiaTheme="minorHAnsi" w:hint="eastAsia"/>
        </w:rPr>
        <w:t>に対するフォローアップを行い、その履行状況についてフィードバックを提供することも重要な役割である。</w:t>
      </w:r>
    </w:p>
    <w:p w14:paraId="54519BF4" w14:textId="26686DA0" w:rsidR="00EF3F5D" w:rsidRPr="00EF3F5D" w:rsidRDefault="00EF3F5D" w:rsidP="00C7456F">
      <w:pPr>
        <w:pStyle w:val="1"/>
      </w:pPr>
      <w:r w:rsidRPr="00EF3F5D">
        <w:t>国内監視枠組みとして指名される機関</w:t>
      </w:r>
    </w:p>
    <w:p w14:paraId="690E83D6" w14:textId="233E24BD" w:rsidR="00EF3F5D" w:rsidRPr="00EF3F5D" w:rsidRDefault="00EF3F5D" w:rsidP="00EF3F5D">
      <w:pPr>
        <w:ind w:firstLineChars="100" w:firstLine="210"/>
        <w:jc w:val="left"/>
        <w:rPr>
          <w:rFonts w:eastAsiaTheme="minorHAnsi"/>
        </w:rPr>
      </w:pPr>
      <w:r w:rsidRPr="00EF3F5D">
        <w:rPr>
          <w:rFonts w:eastAsiaTheme="minorHAnsi"/>
        </w:rPr>
        <w:t>CRPD第33条2項は、パリ原則（独立性、</w:t>
      </w:r>
      <w:r w:rsidR="00D80C06">
        <w:rPr>
          <w:rFonts w:eastAsiaTheme="minorHAnsi" w:hint="eastAsia"/>
        </w:rPr>
        <w:t>必要十分</w:t>
      </w:r>
      <w:r w:rsidRPr="00EF3F5D">
        <w:rPr>
          <w:rFonts w:eastAsiaTheme="minorHAnsi"/>
        </w:rPr>
        <w:t>な権限、</w:t>
      </w:r>
      <w:r w:rsidRPr="00D80C06">
        <w:rPr>
          <w:rFonts w:eastAsiaTheme="minorHAnsi"/>
        </w:rPr>
        <w:t>十分な</w:t>
      </w:r>
      <w:r w:rsidR="00D80C06">
        <w:rPr>
          <w:rFonts w:eastAsiaTheme="minorHAnsi" w:hint="eastAsia"/>
        </w:rPr>
        <w:t>予算と人員</w:t>
      </w:r>
      <w:r w:rsidRPr="00D80C06">
        <w:rPr>
          <w:rFonts w:eastAsiaTheme="minorHAnsi"/>
        </w:rPr>
        <w:t>を備えた機関</w:t>
      </w:r>
      <w:r w:rsidRPr="00EF3F5D">
        <w:rPr>
          <w:rFonts w:eastAsiaTheme="minorHAnsi"/>
        </w:rPr>
        <w:t>）の要件を満たす機関が監視枠組みの中核を担うことを求めている。実際には、各国の状況に応じて、以下のような多様な機関が指名されている。</w:t>
      </w:r>
    </w:p>
    <w:p w14:paraId="1B4EDC4C" w14:textId="02F55892" w:rsidR="00EF3F5D" w:rsidRPr="004A0B15" w:rsidRDefault="00EF3F5D" w:rsidP="004A0B15">
      <w:pPr>
        <w:pStyle w:val="a9"/>
        <w:numPr>
          <w:ilvl w:val="0"/>
          <w:numId w:val="27"/>
        </w:numPr>
        <w:jc w:val="left"/>
        <w:rPr>
          <w:rFonts w:eastAsiaTheme="minorHAnsi"/>
          <w:lang w:eastAsia="zh-TW"/>
        </w:rPr>
      </w:pPr>
      <w:r w:rsidRPr="004A0B15">
        <w:rPr>
          <w:rFonts w:eastAsiaTheme="minorHAnsi"/>
          <w:lang w:eastAsia="zh-TW"/>
        </w:rPr>
        <w:t>国内人権機関（NHRI）</w:t>
      </w:r>
    </w:p>
    <w:p w14:paraId="108403F6" w14:textId="0F1A519E" w:rsidR="00EF3F5D" w:rsidRPr="00EF3F5D" w:rsidRDefault="00EF3F5D" w:rsidP="0088267F">
      <w:pPr>
        <w:ind w:firstLineChars="100" w:firstLine="210"/>
        <w:jc w:val="left"/>
        <w:rPr>
          <w:rFonts w:eastAsiaTheme="minorHAnsi"/>
        </w:rPr>
      </w:pPr>
      <w:r w:rsidRPr="00EF3F5D">
        <w:rPr>
          <w:rFonts w:eastAsiaTheme="minorHAnsi" w:hint="eastAsia"/>
        </w:rPr>
        <w:t>多くの締約国がこの機関を監視枠組みの中心に位置づけている。国内人権機関は、政府から独立して人権保護と促進を行うための重要な機関であり、パリ原則に基づいて設置されることでその独立性と効果性が確保されている。</w:t>
      </w:r>
    </w:p>
    <w:p w14:paraId="3398B21C" w14:textId="16E1CD04" w:rsidR="00EF3F5D" w:rsidRPr="004A0B15" w:rsidRDefault="00EF3F5D" w:rsidP="004A0B15">
      <w:pPr>
        <w:pStyle w:val="a9"/>
        <w:numPr>
          <w:ilvl w:val="0"/>
          <w:numId w:val="27"/>
        </w:numPr>
        <w:jc w:val="left"/>
        <w:rPr>
          <w:rFonts w:eastAsiaTheme="minorHAnsi"/>
        </w:rPr>
      </w:pPr>
      <w:r w:rsidRPr="004A0B15">
        <w:rPr>
          <w:rFonts w:eastAsiaTheme="minorHAnsi"/>
        </w:rPr>
        <w:t>オンブズマン機関</w:t>
      </w:r>
    </w:p>
    <w:p w14:paraId="56282E99" w14:textId="7FB9E3F9" w:rsidR="00EF3F5D" w:rsidRPr="00EF3F5D" w:rsidRDefault="00EF3F5D" w:rsidP="004A0B15">
      <w:pPr>
        <w:ind w:firstLineChars="100" w:firstLine="210"/>
        <w:jc w:val="left"/>
        <w:rPr>
          <w:rFonts w:eastAsiaTheme="minorHAnsi"/>
        </w:rPr>
      </w:pPr>
      <w:r w:rsidRPr="00EF3F5D">
        <w:rPr>
          <w:rFonts w:eastAsiaTheme="minorHAnsi" w:hint="eastAsia"/>
        </w:rPr>
        <w:t>一部の国では、オンブズマン機関が条約の監視枠組みに指定され、個人の権利侵害に対して調査や救済措置を提供する。オンブズマン機関は、政府や行政機関から独立して市民の権利を守り、行政の透明性と公正さを確保するための重要な公的機関である。苦情処理を通じて市民の声を反映させ、行政の改善を促す役割を果たしており、その勧告は法的強制力を持たないものの、高い信頼性と道徳的影響力を持っている。</w:t>
      </w:r>
    </w:p>
    <w:p w14:paraId="5E907F98" w14:textId="58949DF4" w:rsidR="00EF3F5D" w:rsidRPr="004A0B15" w:rsidRDefault="00EF3F5D" w:rsidP="004A0B15">
      <w:pPr>
        <w:pStyle w:val="a9"/>
        <w:numPr>
          <w:ilvl w:val="0"/>
          <w:numId w:val="27"/>
        </w:numPr>
        <w:jc w:val="left"/>
        <w:rPr>
          <w:rFonts w:eastAsiaTheme="minorHAnsi"/>
        </w:rPr>
      </w:pPr>
      <w:r w:rsidRPr="004A0B15">
        <w:rPr>
          <w:rFonts w:eastAsiaTheme="minorHAnsi"/>
        </w:rPr>
        <w:t>障害者権利保護に特化した機関</w:t>
      </w:r>
    </w:p>
    <w:p w14:paraId="72E039CB" w14:textId="5972A96B" w:rsidR="00EF3F5D" w:rsidRPr="00EF3F5D" w:rsidRDefault="00EF3F5D" w:rsidP="004A0B15">
      <w:pPr>
        <w:ind w:firstLineChars="100" w:firstLine="210"/>
        <w:jc w:val="left"/>
        <w:rPr>
          <w:rFonts w:eastAsiaTheme="minorHAnsi"/>
        </w:rPr>
      </w:pPr>
      <w:r w:rsidRPr="00EF3F5D">
        <w:rPr>
          <w:rFonts w:eastAsiaTheme="minorHAnsi" w:hint="eastAsia"/>
        </w:rPr>
        <w:t>一部の国では、障害者の権利に特化した専門機関が設置され、条約実施のモニタリングを行っている。</w:t>
      </w:r>
    </w:p>
    <w:p w14:paraId="1F162107" w14:textId="6CAA4891" w:rsidR="00EF3F5D" w:rsidRPr="00EF3F5D" w:rsidRDefault="00EF3F5D" w:rsidP="00C7456F">
      <w:pPr>
        <w:pStyle w:val="1"/>
      </w:pPr>
      <w:r w:rsidRPr="00EF3F5D">
        <w:t>障害者権利保護に特化した機関が国内監視枠組みを担っている国</w:t>
      </w:r>
    </w:p>
    <w:p w14:paraId="571B3C8E" w14:textId="3909BF84" w:rsidR="00EF3F5D" w:rsidRPr="004A0B15" w:rsidRDefault="00EF3F5D" w:rsidP="004A0B15">
      <w:pPr>
        <w:pStyle w:val="a9"/>
        <w:numPr>
          <w:ilvl w:val="0"/>
          <w:numId w:val="28"/>
        </w:numPr>
        <w:jc w:val="left"/>
        <w:rPr>
          <w:rFonts w:eastAsiaTheme="minorHAnsi"/>
        </w:rPr>
      </w:pPr>
      <w:r w:rsidRPr="004A0B15">
        <w:rPr>
          <w:rFonts w:eastAsiaTheme="minorHAnsi"/>
        </w:rPr>
        <w:t xml:space="preserve">デンマーク  </w:t>
      </w:r>
    </w:p>
    <w:p w14:paraId="4AEF088C" w14:textId="77777777" w:rsidR="00EF3F5D" w:rsidRPr="00EF3F5D" w:rsidRDefault="00EF3F5D" w:rsidP="00EF3F5D">
      <w:pPr>
        <w:ind w:firstLineChars="100" w:firstLine="210"/>
        <w:jc w:val="left"/>
        <w:rPr>
          <w:rFonts w:eastAsiaTheme="minorHAnsi"/>
        </w:rPr>
      </w:pPr>
      <w:r w:rsidRPr="00EF3F5D">
        <w:rPr>
          <w:rFonts w:eastAsiaTheme="minorHAnsi" w:hint="eastAsia"/>
        </w:rPr>
        <w:t>デンマークでは、デンマーク障害者評議会（</w:t>
      </w:r>
      <w:r w:rsidRPr="00EF3F5D">
        <w:rPr>
          <w:rFonts w:eastAsiaTheme="minorHAnsi"/>
        </w:rPr>
        <w:t>The Danish Disability Council）が障害者権利保護に特化した機関として、国内監視枠組みの一部を構成している。この評議会は障害者団体や政府機関と連携し、障害者権利条約の実施状況を監視・評価し、政府に対して提言を行っている。</w:t>
      </w:r>
    </w:p>
    <w:p w14:paraId="459B2CE0" w14:textId="476C3C9C" w:rsidR="00EF3F5D" w:rsidRPr="004A0B15" w:rsidRDefault="00EF3F5D" w:rsidP="004A0B15">
      <w:pPr>
        <w:pStyle w:val="a9"/>
        <w:numPr>
          <w:ilvl w:val="0"/>
          <w:numId w:val="28"/>
        </w:numPr>
        <w:jc w:val="left"/>
        <w:rPr>
          <w:rFonts w:eastAsiaTheme="minorHAnsi"/>
        </w:rPr>
      </w:pPr>
      <w:r w:rsidRPr="004A0B15">
        <w:rPr>
          <w:rFonts w:eastAsiaTheme="minorHAnsi"/>
        </w:rPr>
        <w:t xml:space="preserve">スウェーデン  </w:t>
      </w:r>
    </w:p>
    <w:p w14:paraId="6D157021" w14:textId="746E257D" w:rsidR="00EF3F5D" w:rsidRPr="00EF3F5D" w:rsidRDefault="00EF3F5D" w:rsidP="00EF3F5D">
      <w:pPr>
        <w:ind w:firstLineChars="100" w:firstLine="210"/>
        <w:jc w:val="left"/>
        <w:rPr>
          <w:rFonts w:eastAsiaTheme="minorHAnsi"/>
        </w:rPr>
      </w:pPr>
      <w:r w:rsidRPr="00EF3F5D">
        <w:rPr>
          <w:rFonts w:eastAsiaTheme="minorHAnsi" w:hint="eastAsia"/>
        </w:rPr>
        <w:t>スウェーデンでは、障害者問題に関するオ</w:t>
      </w:r>
      <w:r w:rsidR="0088267F">
        <w:rPr>
          <w:rFonts w:eastAsiaTheme="minorHAnsi" w:hint="eastAsia"/>
        </w:rPr>
        <w:t>ン</w:t>
      </w:r>
      <w:r w:rsidRPr="00EF3F5D">
        <w:rPr>
          <w:rFonts w:eastAsiaTheme="minorHAnsi" w:hint="eastAsia"/>
        </w:rPr>
        <w:t>ブズマン（</w:t>
      </w:r>
      <w:r w:rsidRPr="00EF3F5D">
        <w:rPr>
          <w:rFonts w:eastAsiaTheme="minorHAnsi"/>
        </w:rPr>
        <w:t>Disability Ombudsman）が、障害者の権利を保護し、監視するための特化した機関として機能している。このオ</w:t>
      </w:r>
      <w:r w:rsidR="0088267F">
        <w:rPr>
          <w:rFonts w:eastAsiaTheme="minorHAnsi" w:hint="eastAsia"/>
        </w:rPr>
        <w:t>ン</w:t>
      </w:r>
      <w:r w:rsidRPr="00EF3F5D">
        <w:rPr>
          <w:rFonts w:eastAsiaTheme="minorHAnsi"/>
        </w:rPr>
        <w:t>ブズマンは、障害者の権利侵害に関する苦情を受け</w:t>
      </w:r>
      <w:r w:rsidR="004A0B15">
        <w:rPr>
          <w:rFonts w:eastAsiaTheme="minorHAnsi" w:hint="eastAsia"/>
        </w:rPr>
        <w:t>つ</w:t>
      </w:r>
      <w:r w:rsidRPr="00EF3F5D">
        <w:rPr>
          <w:rFonts w:eastAsiaTheme="minorHAnsi"/>
        </w:rPr>
        <w:t>け、調査や仲裁を行い、政府に対して報告</w:t>
      </w:r>
      <w:r w:rsidRPr="00EF3F5D">
        <w:rPr>
          <w:rFonts w:eastAsiaTheme="minorHAnsi"/>
        </w:rPr>
        <w:lastRenderedPageBreak/>
        <w:t>を行っている。</w:t>
      </w:r>
    </w:p>
    <w:p w14:paraId="7C3AD458" w14:textId="53613A9B" w:rsidR="00D80C06" w:rsidRDefault="00D80C06" w:rsidP="004A0B15">
      <w:pPr>
        <w:pStyle w:val="a9"/>
        <w:numPr>
          <w:ilvl w:val="0"/>
          <w:numId w:val="28"/>
        </w:numPr>
        <w:jc w:val="left"/>
        <w:rPr>
          <w:rFonts w:eastAsiaTheme="minorHAnsi"/>
          <w:lang w:eastAsia="zh-TW"/>
        </w:rPr>
      </w:pPr>
      <w:r>
        <w:rPr>
          <w:rFonts w:eastAsiaTheme="minorHAnsi" w:hint="eastAsia"/>
        </w:rPr>
        <w:t>日本</w:t>
      </w:r>
    </w:p>
    <w:p w14:paraId="78BF3A66" w14:textId="4BBE8B0A" w:rsidR="00EF3F5D" w:rsidRPr="00EF3F5D" w:rsidRDefault="00EF3F5D" w:rsidP="00D80C06">
      <w:pPr>
        <w:ind w:firstLineChars="100" w:firstLine="210"/>
        <w:jc w:val="left"/>
        <w:rPr>
          <w:rFonts w:eastAsiaTheme="minorHAnsi"/>
        </w:rPr>
      </w:pPr>
      <w:r w:rsidRPr="00D80C06">
        <w:rPr>
          <w:rFonts w:eastAsiaTheme="minorHAnsi"/>
        </w:rPr>
        <w:t>内閣府障害者政策委員会</w:t>
      </w:r>
      <w:r w:rsidR="00D80C06">
        <w:rPr>
          <w:rFonts w:eastAsiaTheme="minorHAnsi" w:hint="eastAsia"/>
        </w:rPr>
        <w:t>が</w:t>
      </w:r>
      <w:r w:rsidRPr="00EF3F5D">
        <w:rPr>
          <w:rFonts w:eastAsiaTheme="minorHAnsi" w:hint="eastAsia"/>
        </w:rPr>
        <w:t>障害者基本計画の監視を通じて障害者権利条約の実施を監視するとされている。</w:t>
      </w:r>
    </w:p>
    <w:p w14:paraId="5B3050FE" w14:textId="75605320" w:rsidR="00EF3F5D" w:rsidRPr="00EF3F5D" w:rsidRDefault="00EF3F5D" w:rsidP="00C7456F">
      <w:pPr>
        <w:pStyle w:val="1"/>
      </w:pPr>
      <w:r w:rsidRPr="00EF3F5D">
        <w:t>複数の機関を国内監視枠組みとしている締約国</w:t>
      </w:r>
    </w:p>
    <w:p w14:paraId="679FF684" w14:textId="0115AFDC" w:rsidR="00EF3F5D" w:rsidRPr="004A0B15" w:rsidRDefault="00EF3F5D" w:rsidP="004A0B15">
      <w:pPr>
        <w:pStyle w:val="a9"/>
        <w:numPr>
          <w:ilvl w:val="0"/>
          <w:numId w:val="29"/>
        </w:numPr>
        <w:jc w:val="left"/>
        <w:rPr>
          <w:rFonts w:eastAsiaTheme="minorHAnsi"/>
        </w:rPr>
      </w:pPr>
      <w:r w:rsidRPr="004A0B15">
        <w:rPr>
          <w:rFonts w:eastAsiaTheme="minorHAnsi"/>
        </w:rPr>
        <w:t xml:space="preserve">イギリス </w:t>
      </w:r>
    </w:p>
    <w:p w14:paraId="638BA988" w14:textId="6B473A0C" w:rsidR="00EF3F5D" w:rsidRPr="00EF3F5D" w:rsidRDefault="00EF3F5D" w:rsidP="004A0B15">
      <w:pPr>
        <w:ind w:firstLineChars="100" w:firstLine="210"/>
        <w:jc w:val="left"/>
        <w:rPr>
          <w:rFonts w:eastAsiaTheme="minorHAnsi"/>
        </w:rPr>
      </w:pPr>
      <w:r w:rsidRPr="00EF3F5D">
        <w:rPr>
          <w:rFonts w:eastAsiaTheme="minorHAnsi" w:hint="eastAsia"/>
        </w:rPr>
        <w:t>複数の独立した人権機関が連携して機能している。この枠組みの中心を担うのが、</w:t>
      </w:r>
      <w:r w:rsidRPr="00EF3F5D">
        <w:rPr>
          <w:rFonts w:eastAsiaTheme="minorHAnsi"/>
        </w:rPr>
        <w:t>UK独立監視機構（UK Independent Mechanism, UKIM）である。UKIMは、イギリスの4つの人権委員会で構成されている。それぞれの委員会は、イギリス全土およびその地域でのCRPDの履行状況を監視している。具体的には以下の機関が含まれる。</w:t>
      </w:r>
    </w:p>
    <w:p w14:paraId="7FF3AC3B" w14:textId="314FAED0" w:rsidR="00EF3F5D" w:rsidRPr="00DE4095" w:rsidRDefault="00EF3F5D" w:rsidP="00DE4095">
      <w:pPr>
        <w:pStyle w:val="a9"/>
        <w:numPr>
          <w:ilvl w:val="0"/>
          <w:numId w:val="31"/>
        </w:numPr>
        <w:jc w:val="left"/>
        <w:rPr>
          <w:rFonts w:eastAsiaTheme="minorHAnsi"/>
        </w:rPr>
      </w:pPr>
      <w:r w:rsidRPr="00DE4095">
        <w:rPr>
          <w:rFonts w:eastAsiaTheme="minorHAnsi" w:hint="eastAsia"/>
        </w:rPr>
        <w:t>イギリス平等人権委員会（</w:t>
      </w:r>
      <w:r w:rsidRPr="00DE4095">
        <w:rPr>
          <w:rFonts w:eastAsiaTheme="minorHAnsi"/>
        </w:rPr>
        <w:t>Equality and Human Rights Commission, EHRC）</w:t>
      </w:r>
    </w:p>
    <w:p w14:paraId="4A1AED72" w14:textId="77777777" w:rsidR="0088267F" w:rsidRDefault="00EF3F5D" w:rsidP="004A0B15">
      <w:pPr>
        <w:pStyle w:val="a9"/>
        <w:numPr>
          <w:ilvl w:val="0"/>
          <w:numId w:val="31"/>
        </w:numPr>
        <w:jc w:val="left"/>
        <w:rPr>
          <w:rFonts w:eastAsiaTheme="minorHAnsi"/>
        </w:rPr>
      </w:pPr>
      <w:r w:rsidRPr="004A0B15">
        <w:rPr>
          <w:rFonts w:eastAsiaTheme="minorHAnsi" w:hint="eastAsia"/>
        </w:rPr>
        <w:t>スコットランド人権委員会（</w:t>
      </w:r>
      <w:r w:rsidRPr="004A0B15">
        <w:rPr>
          <w:rFonts w:eastAsiaTheme="minorHAnsi"/>
        </w:rPr>
        <w:t>Scottish Human Rights Commission, SHRC）</w:t>
      </w:r>
    </w:p>
    <w:p w14:paraId="400A93BC" w14:textId="77777777" w:rsidR="0088267F" w:rsidRDefault="00EF3F5D" w:rsidP="004A0B15">
      <w:pPr>
        <w:pStyle w:val="a9"/>
        <w:numPr>
          <w:ilvl w:val="0"/>
          <w:numId w:val="31"/>
        </w:numPr>
        <w:jc w:val="left"/>
        <w:rPr>
          <w:rFonts w:eastAsiaTheme="minorHAnsi"/>
        </w:rPr>
      </w:pPr>
      <w:r w:rsidRPr="004A0B15">
        <w:rPr>
          <w:rFonts w:eastAsiaTheme="minorHAnsi" w:hint="eastAsia"/>
        </w:rPr>
        <w:t>北アイルランド人権委員会（</w:t>
      </w:r>
      <w:r w:rsidRPr="004A0B15">
        <w:rPr>
          <w:rFonts w:eastAsiaTheme="minorHAnsi"/>
        </w:rPr>
        <w:t>Northern Ireland Human Rights Commission, NIHRC）</w:t>
      </w:r>
    </w:p>
    <w:p w14:paraId="34E0CD3A" w14:textId="77777777" w:rsidR="0088267F" w:rsidRDefault="00EF3F5D" w:rsidP="004A0B15">
      <w:pPr>
        <w:pStyle w:val="a9"/>
        <w:numPr>
          <w:ilvl w:val="0"/>
          <w:numId w:val="31"/>
        </w:numPr>
        <w:jc w:val="left"/>
        <w:rPr>
          <w:rFonts w:eastAsiaTheme="minorHAnsi"/>
        </w:rPr>
      </w:pPr>
      <w:r w:rsidRPr="004A0B15">
        <w:rPr>
          <w:rFonts w:eastAsiaTheme="minorHAnsi" w:hint="eastAsia"/>
        </w:rPr>
        <w:t>北アイルランド平等委員会（</w:t>
      </w:r>
      <w:r w:rsidRPr="004A0B15">
        <w:rPr>
          <w:rFonts w:eastAsiaTheme="minorHAnsi"/>
        </w:rPr>
        <w:t>Equality Commission for Northern Ireland, ECNI）</w:t>
      </w:r>
    </w:p>
    <w:p w14:paraId="6BEA04C3" w14:textId="07F8F793" w:rsidR="00EF3F5D" w:rsidRPr="004A0B15" w:rsidRDefault="00EF3F5D" w:rsidP="004A0B15">
      <w:pPr>
        <w:pStyle w:val="a9"/>
        <w:numPr>
          <w:ilvl w:val="0"/>
          <w:numId w:val="29"/>
        </w:numPr>
        <w:jc w:val="left"/>
        <w:rPr>
          <w:rFonts w:eastAsiaTheme="minorHAnsi"/>
        </w:rPr>
      </w:pPr>
      <w:r w:rsidRPr="004A0B15">
        <w:rPr>
          <w:rFonts w:eastAsiaTheme="minorHAnsi"/>
        </w:rPr>
        <w:t xml:space="preserve">オーストラリア  </w:t>
      </w:r>
    </w:p>
    <w:p w14:paraId="0BC5A5DA" w14:textId="77777777" w:rsidR="00EF3F5D" w:rsidRPr="00EF3F5D" w:rsidRDefault="00EF3F5D" w:rsidP="004A0B15">
      <w:pPr>
        <w:ind w:firstLineChars="100" w:firstLine="210"/>
        <w:jc w:val="left"/>
        <w:rPr>
          <w:rFonts w:eastAsiaTheme="minorHAnsi"/>
        </w:rPr>
      </w:pPr>
      <w:r w:rsidRPr="00EF3F5D">
        <w:rPr>
          <w:rFonts w:eastAsiaTheme="minorHAnsi" w:hint="eastAsia"/>
        </w:rPr>
        <w:t>オーストラリアでは、オーストラリア人権委員会に加えて、州ごとの障害者団体や人権機関が条約の実施状況を監視している。</w:t>
      </w:r>
    </w:p>
    <w:p w14:paraId="7C9AB3E0" w14:textId="2944EB6A" w:rsidR="00EF3F5D" w:rsidRPr="004A0B15" w:rsidRDefault="00EF3F5D" w:rsidP="004A0B15">
      <w:pPr>
        <w:pStyle w:val="a9"/>
        <w:numPr>
          <w:ilvl w:val="0"/>
          <w:numId w:val="29"/>
        </w:numPr>
        <w:jc w:val="left"/>
        <w:rPr>
          <w:rFonts w:eastAsiaTheme="minorHAnsi"/>
        </w:rPr>
      </w:pPr>
      <w:r w:rsidRPr="004A0B15">
        <w:rPr>
          <w:rFonts w:eastAsiaTheme="minorHAnsi"/>
        </w:rPr>
        <w:t xml:space="preserve">ニュージーランド  </w:t>
      </w:r>
    </w:p>
    <w:p w14:paraId="7B318E87" w14:textId="35ED37A0" w:rsidR="00EF3F5D" w:rsidRPr="00EF3F5D" w:rsidRDefault="00EF3F5D" w:rsidP="004A0B15">
      <w:pPr>
        <w:ind w:firstLineChars="100" w:firstLine="210"/>
        <w:jc w:val="left"/>
        <w:rPr>
          <w:rFonts w:eastAsiaTheme="minorHAnsi"/>
        </w:rPr>
      </w:pPr>
      <w:r w:rsidRPr="00EF3F5D">
        <w:rPr>
          <w:rFonts w:eastAsiaTheme="minorHAnsi" w:hint="eastAsia"/>
        </w:rPr>
        <w:t>ニュージーランドでは、障害者権利保護委員会（</w:t>
      </w:r>
      <w:r w:rsidRPr="00EF3F5D">
        <w:rPr>
          <w:rFonts w:eastAsiaTheme="minorHAnsi"/>
        </w:rPr>
        <w:t>Disability Rights Commissioner）、障害者問題事務局、障害者団体連合が共同で国内監視を担当している。ニュージーランドの国内監視枠組みは、これら3つの機関が相互に協力し、CRPDの実施状況を多面的に監視する「三者監視体制」を特徴としている。なお障害者権利保護委員会はニュージーランド人権委員会の中に設置された部署であり、障害者問題事務局は政府内の機関である。</w:t>
      </w:r>
    </w:p>
    <w:p w14:paraId="3735DC69" w14:textId="1D68D9D4" w:rsidR="00EF3F5D" w:rsidRPr="004A0B15" w:rsidRDefault="00EF3F5D" w:rsidP="004A0B15">
      <w:pPr>
        <w:pStyle w:val="a9"/>
        <w:numPr>
          <w:ilvl w:val="0"/>
          <w:numId w:val="29"/>
        </w:numPr>
        <w:jc w:val="left"/>
        <w:rPr>
          <w:rFonts w:eastAsiaTheme="minorHAnsi"/>
        </w:rPr>
      </w:pPr>
      <w:r w:rsidRPr="004A0B15">
        <w:rPr>
          <w:rFonts w:eastAsiaTheme="minorHAnsi"/>
        </w:rPr>
        <w:t xml:space="preserve">スペイン  </w:t>
      </w:r>
    </w:p>
    <w:p w14:paraId="728DFC0B" w14:textId="3D90E3A2" w:rsidR="00EF3F5D" w:rsidRPr="00EF3F5D" w:rsidRDefault="00EF3F5D" w:rsidP="004A0B15">
      <w:pPr>
        <w:ind w:firstLineChars="100" w:firstLine="210"/>
        <w:jc w:val="left"/>
        <w:rPr>
          <w:rFonts w:eastAsiaTheme="minorHAnsi"/>
        </w:rPr>
      </w:pPr>
      <w:r w:rsidRPr="00EF3F5D">
        <w:rPr>
          <w:rFonts w:eastAsiaTheme="minorHAnsi" w:hint="eastAsia"/>
        </w:rPr>
        <w:t>スペインでは、国家障害者評議会、オンブズマン、障害者団体が国内監視を担っている。国家障害者評議会は、障害者団体の代表者や専門家、政府の代表者など、さまざまな関係者が参加しており、政府と連携しつつ独立した助言を行うことが特徴とされている。</w:t>
      </w:r>
    </w:p>
    <w:p w14:paraId="4C0B380B" w14:textId="26BE7B28" w:rsidR="00EF3F5D" w:rsidRPr="00EF3F5D" w:rsidRDefault="00EF3F5D" w:rsidP="00EF3F5D">
      <w:pPr>
        <w:jc w:val="left"/>
        <w:rPr>
          <w:rFonts w:eastAsiaTheme="minorHAnsi"/>
        </w:rPr>
      </w:pPr>
      <w:r w:rsidRPr="00EF3F5D">
        <w:rPr>
          <w:rFonts w:eastAsiaTheme="minorHAnsi" w:hint="eastAsia"/>
        </w:rPr>
        <w:t>オンブズマンは、個人や団体からの苦情を受け</w:t>
      </w:r>
      <w:r w:rsidR="004A0B15">
        <w:rPr>
          <w:rFonts w:eastAsiaTheme="minorHAnsi" w:hint="eastAsia"/>
        </w:rPr>
        <w:t>つ</w:t>
      </w:r>
      <w:r w:rsidRPr="00EF3F5D">
        <w:rPr>
          <w:rFonts w:eastAsiaTheme="minorHAnsi" w:hint="eastAsia"/>
        </w:rPr>
        <w:t>け、障害者の権利に対する侵害があった場合に調査を行い、政府や公共機関に対して是正措置を求める独立した機関である。また、障害者に関する政策や法の執行が適正に行われているかを監視し、必要に応じて勧告を行う。</w:t>
      </w:r>
    </w:p>
    <w:p w14:paraId="5B32C142" w14:textId="0954BFD3" w:rsidR="00EF3F5D" w:rsidRPr="004A0B15" w:rsidRDefault="00EF3F5D" w:rsidP="004A0B15">
      <w:pPr>
        <w:pStyle w:val="a9"/>
        <w:numPr>
          <w:ilvl w:val="0"/>
          <w:numId w:val="29"/>
        </w:numPr>
        <w:jc w:val="left"/>
        <w:rPr>
          <w:rFonts w:eastAsiaTheme="minorHAnsi"/>
        </w:rPr>
      </w:pPr>
      <w:r w:rsidRPr="004A0B15">
        <w:rPr>
          <w:rFonts w:eastAsiaTheme="minorHAnsi"/>
        </w:rPr>
        <w:t>デンマーク</w:t>
      </w:r>
    </w:p>
    <w:p w14:paraId="452CE84D" w14:textId="77777777" w:rsidR="00EF3F5D" w:rsidRPr="00EF3F5D" w:rsidRDefault="00EF3F5D" w:rsidP="004A0B15">
      <w:pPr>
        <w:ind w:firstLineChars="100" w:firstLine="210"/>
        <w:jc w:val="left"/>
        <w:rPr>
          <w:rFonts w:eastAsiaTheme="minorHAnsi"/>
        </w:rPr>
      </w:pPr>
      <w:r w:rsidRPr="00EF3F5D">
        <w:rPr>
          <w:rFonts w:eastAsiaTheme="minorHAnsi" w:hint="eastAsia"/>
        </w:rPr>
        <w:t>デンマークでは、デンマーク障害者評議会（</w:t>
      </w:r>
      <w:r w:rsidRPr="00EF3F5D">
        <w:rPr>
          <w:rFonts w:eastAsiaTheme="minorHAnsi"/>
        </w:rPr>
        <w:t>The Danish Disability Council）が障害者の</w:t>
      </w:r>
      <w:r w:rsidRPr="00EF3F5D">
        <w:rPr>
          <w:rFonts w:eastAsiaTheme="minorHAnsi"/>
        </w:rPr>
        <w:lastRenderedPageBreak/>
        <w:t>人権保護に特化した機関として国内監視枠組みの一部を担っている。さらに、国内人権機関であるデンマーク人権研究所（Danish Institute for Human Rights）もCRPDの国内監視枠組みの一部を構成している。</w:t>
      </w:r>
    </w:p>
    <w:p w14:paraId="32EC2E2E" w14:textId="588DE00D" w:rsidR="00EF3F5D" w:rsidRPr="004A0B15" w:rsidRDefault="00EF3F5D" w:rsidP="004A0B15">
      <w:pPr>
        <w:pStyle w:val="a9"/>
        <w:numPr>
          <w:ilvl w:val="0"/>
          <w:numId w:val="29"/>
        </w:numPr>
        <w:jc w:val="left"/>
        <w:rPr>
          <w:rFonts w:eastAsiaTheme="minorHAnsi"/>
        </w:rPr>
      </w:pPr>
      <w:r w:rsidRPr="004A0B15">
        <w:rPr>
          <w:rFonts w:eastAsiaTheme="minorHAnsi"/>
        </w:rPr>
        <w:t>スウェーデン</w:t>
      </w:r>
    </w:p>
    <w:p w14:paraId="29B478BF" w14:textId="304F6BD8" w:rsidR="00EF3F5D" w:rsidRPr="00EF3F5D" w:rsidRDefault="00EF3F5D" w:rsidP="004A0B15">
      <w:pPr>
        <w:ind w:firstLineChars="100" w:firstLine="210"/>
        <w:jc w:val="left"/>
        <w:rPr>
          <w:rFonts w:eastAsiaTheme="minorHAnsi"/>
        </w:rPr>
      </w:pPr>
      <w:r w:rsidRPr="00EF3F5D">
        <w:rPr>
          <w:rFonts w:eastAsiaTheme="minorHAnsi" w:hint="eastAsia"/>
        </w:rPr>
        <w:t>スウェーデンでは、障害者問題に関するオ</w:t>
      </w:r>
      <w:r w:rsidR="0088267F">
        <w:rPr>
          <w:rFonts w:eastAsiaTheme="minorHAnsi" w:hint="eastAsia"/>
        </w:rPr>
        <w:t>ン</w:t>
      </w:r>
      <w:r w:rsidRPr="00EF3F5D">
        <w:rPr>
          <w:rFonts w:eastAsiaTheme="minorHAnsi" w:hint="eastAsia"/>
        </w:rPr>
        <w:t>ブズマン（</w:t>
      </w:r>
      <w:r w:rsidRPr="00EF3F5D">
        <w:rPr>
          <w:rFonts w:eastAsiaTheme="minorHAnsi"/>
        </w:rPr>
        <w:t>Disability Ombudsman）が障害者の権利保護に特化した機関として機能している。さらにスウェーデンには国内人権機関としての役割を持つスウェーデン平等オンブズマン（Equality Ombudsman）も国内監視枠組みを担っている。</w:t>
      </w:r>
    </w:p>
    <w:p w14:paraId="60CC216D" w14:textId="35A35EA2" w:rsidR="001D1AE8" w:rsidRPr="001D1AE8" w:rsidRDefault="0088267F" w:rsidP="00C7456F">
      <w:pPr>
        <w:pStyle w:val="1"/>
      </w:pPr>
      <w:r>
        <w:rPr>
          <w:rFonts w:hint="eastAsia"/>
        </w:rPr>
        <w:t>障害者権利委員会</w:t>
      </w:r>
      <w:r w:rsidR="001D1AE8">
        <w:rPr>
          <w:rFonts w:hint="eastAsia"/>
        </w:rPr>
        <w:t>委員として経験した事例</w:t>
      </w:r>
    </w:p>
    <w:p w14:paraId="242A5276" w14:textId="3282FB85" w:rsidR="00EF3F5D" w:rsidRPr="00EF3F5D" w:rsidRDefault="00EF3F5D" w:rsidP="004A0B15">
      <w:pPr>
        <w:pStyle w:val="a9"/>
        <w:numPr>
          <w:ilvl w:val="0"/>
          <w:numId w:val="32"/>
        </w:numPr>
      </w:pPr>
      <w:r w:rsidRPr="00EF3F5D">
        <w:t>カナダの事例</w:t>
      </w:r>
    </w:p>
    <w:p w14:paraId="36FC5DE8" w14:textId="77777777" w:rsidR="00550B07" w:rsidRDefault="00EF3F5D" w:rsidP="00550B07">
      <w:pPr>
        <w:ind w:firstLineChars="100" w:firstLine="210"/>
        <w:jc w:val="left"/>
        <w:rPr>
          <w:rFonts w:eastAsiaTheme="minorHAnsi"/>
        </w:rPr>
      </w:pPr>
      <w:r w:rsidRPr="00EF3F5D">
        <w:rPr>
          <w:rFonts w:eastAsiaTheme="minorHAnsi" w:hint="eastAsia"/>
        </w:rPr>
        <w:t>カナダが障害者権利条約（</w:t>
      </w:r>
      <w:r w:rsidRPr="00EF3F5D">
        <w:rPr>
          <w:rFonts w:eastAsiaTheme="minorHAnsi"/>
        </w:rPr>
        <w:t>CRPD）を批准したのは2010年である。だが、当初カナダは国内監視枠組みを明確に指定していなかった。のちにカナダは国内監視体制を是正し、カナダ人権委員会（CHRC）を国内監視枠組みとして正式に指定した。この改善は、2017年に行われたカナダのCRPDの実施状況に関する最初の審査を受けた後の動きである。</w:t>
      </w:r>
    </w:p>
    <w:p w14:paraId="4ADB4D79" w14:textId="268AD439" w:rsidR="00EF3F5D" w:rsidRPr="00EF3F5D" w:rsidRDefault="00EF3F5D" w:rsidP="00550B07">
      <w:pPr>
        <w:ind w:firstLineChars="100" w:firstLine="210"/>
        <w:jc w:val="left"/>
        <w:rPr>
          <w:rFonts w:eastAsiaTheme="minorHAnsi"/>
        </w:rPr>
      </w:pPr>
      <w:r w:rsidRPr="00EF3F5D">
        <w:rPr>
          <w:rFonts w:eastAsiaTheme="minorHAnsi" w:hint="eastAsia"/>
        </w:rPr>
        <w:t>障害者権利委員会の事前質問事項（</w:t>
      </w:r>
      <w:r w:rsidRPr="00EF3F5D">
        <w:rPr>
          <w:rFonts w:eastAsiaTheme="minorHAnsi"/>
        </w:rPr>
        <w:t>List of Issues）に対するカナダ政府の回答では、カナダが多様な監視体制を持つ連邦国家であり、国内監視は必ずしも単一の機関に依存するものではないと説明した。具体的には、既存の州や地域ごとの監視機関やカナダ人権委員会がそれぞれ監視の役割を担うと報告していた。しかし、障害者権利委員会からの勧告では、より明確で独立した国内監視機関の設置が求められた。この勧告に応じ、カナダは後にカナダ人権委員会を正式な国内監視機関として指定し、障害者の権利保護に関する監視体制を強化する方向</w:t>
      </w:r>
      <w:r w:rsidRPr="00EF3F5D">
        <w:rPr>
          <w:rFonts w:eastAsiaTheme="minorHAnsi" w:hint="eastAsia"/>
        </w:rPr>
        <w:t>に是正した。</w:t>
      </w:r>
    </w:p>
    <w:p w14:paraId="32F002AA" w14:textId="2C05C1BA" w:rsidR="00EF3F5D" w:rsidRPr="00EF3F5D" w:rsidRDefault="00EF3F5D" w:rsidP="004A0B15">
      <w:pPr>
        <w:pStyle w:val="a9"/>
        <w:numPr>
          <w:ilvl w:val="0"/>
          <w:numId w:val="32"/>
        </w:numPr>
      </w:pPr>
      <w:r w:rsidRPr="00EF3F5D">
        <w:t>イギリスの事例</w:t>
      </w:r>
    </w:p>
    <w:p w14:paraId="3CA313AB" w14:textId="77777777" w:rsidR="00EF3F5D" w:rsidRPr="00EF3F5D" w:rsidRDefault="00EF3F5D" w:rsidP="004A0B15">
      <w:pPr>
        <w:ind w:firstLineChars="100" w:firstLine="210"/>
        <w:jc w:val="left"/>
        <w:rPr>
          <w:rFonts w:eastAsiaTheme="minorHAnsi"/>
        </w:rPr>
      </w:pPr>
      <w:r w:rsidRPr="00EF3F5D">
        <w:rPr>
          <w:rFonts w:eastAsiaTheme="minorHAnsi"/>
        </w:rPr>
        <w:t>2017年のイギリスにおける障害者権利条約（CRPD）の実施状況審査では、イギリス政府とUK独立監視機構（UK Independent Mechanism, UKIM）がそれぞれの立場で発言を行った。</w:t>
      </w:r>
    </w:p>
    <w:p w14:paraId="3DA51312" w14:textId="474C25C0" w:rsidR="00EF3F5D" w:rsidRPr="00D80C06" w:rsidRDefault="00EF3F5D" w:rsidP="00D80C06">
      <w:pPr>
        <w:ind w:firstLineChars="100" w:firstLine="210"/>
        <w:jc w:val="left"/>
        <w:rPr>
          <w:rFonts w:eastAsiaTheme="minorHAnsi"/>
        </w:rPr>
      </w:pPr>
      <w:r w:rsidRPr="00EF3F5D">
        <w:rPr>
          <w:rFonts w:eastAsiaTheme="minorHAnsi" w:hint="eastAsia"/>
        </w:rPr>
        <w:t>イギリス政府は、雇用や社会サービスへのアクセスといった分野で進展があったことを認め、個人予算制度や障害者を支援する</w:t>
      </w:r>
      <w:r w:rsidRPr="00EF3F5D">
        <w:rPr>
          <w:rFonts w:eastAsiaTheme="minorHAnsi"/>
        </w:rPr>
        <w:t>Access to Workスキームを強調した。さらに、公共交通機関のアクセシビリティ向上に向けた取り組みについても言及し、障害者がより自立した生活を送れるような措置が進んでいることを示した。しかし、2016年の国連の調査結果に対しては強く異議を唱え、特に福祉改革が「障害者の権利を体系的に侵害している」という指摘を否定し、調査の範囲が狭すぎると批判した</w:t>
      </w:r>
      <w:r w:rsidRPr="00EF3F5D">
        <w:rPr>
          <w:rFonts w:eastAsiaTheme="minorHAnsi" w:hint="eastAsia"/>
        </w:rPr>
        <w:t>。</w:t>
      </w:r>
    </w:p>
    <w:p w14:paraId="31F838BB" w14:textId="269E55E3" w:rsidR="00EF3F5D" w:rsidRPr="00EF3F5D" w:rsidRDefault="00EF3F5D" w:rsidP="004A0B15">
      <w:pPr>
        <w:ind w:firstLineChars="100" w:firstLine="210"/>
        <w:jc w:val="left"/>
        <w:rPr>
          <w:rFonts w:eastAsiaTheme="minorHAnsi"/>
        </w:rPr>
      </w:pPr>
      <w:r w:rsidRPr="00EF3F5D">
        <w:rPr>
          <w:rFonts w:eastAsiaTheme="minorHAnsi" w:hint="eastAsia"/>
        </w:rPr>
        <w:t>一方、</w:t>
      </w:r>
      <w:r w:rsidRPr="00EF3F5D">
        <w:rPr>
          <w:rFonts w:eastAsiaTheme="minorHAnsi"/>
        </w:rPr>
        <w:t>UKIMは政府の対応を批判する立場を</w:t>
      </w:r>
      <w:r w:rsidR="008C74F7">
        <w:rPr>
          <w:rFonts w:eastAsiaTheme="minorHAnsi" w:hint="eastAsia"/>
        </w:rPr>
        <w:t>と</w:t>
      </w:r>
      <w:r w:rsidRPr="00EF3F5D">
        <w:rPr>
          <w:rFonts w:eastAsiaTheme="minorHAnsi"/>
        </w:rPr>
        <w:t>った。UKIMは、イギリス政府とその地方政府が国連からの以前の勧告を十分に実施していないと主張し、特に包括的なイギリス全体での戦略が欠如していることに失望を表明した。また、福祉改革の影響が障害者の権</w:t>
      </w:r>
      <w:r w:rsidRPr="00EF3F5D">
        <w:rPr>
          <w:rFonts w:eastAsiaTheme="minorHAnsi"/>
        </w:rPr>
        <w:lastRenderedPageBreak/>
        <w:t>利に悪影響</w:t>
      </w:r>
      <w:r w:rsidR="008C74F7" w:rsidRPr="00EF3F5D">
        <w:rPr>
          <w:rFonts w:eastAsiaTheme="minorHAnsi" w:hint="eastAsia"/>
        </w:rPr>
        <w:t>と</w:t>
      </w:r>
      <w:r w:rsidRPr="00EF3F5D">
        <w:rPr>
          <w:rFonts w:eastAsiaTheme="minorHAnsi"/>
        </w:rPr>
        <w:t>及ぼしていると指摘し、政府が適切な対応を</w:t>
      </w:r>
      <w:r w:rsidR="008C74F7" w:rsidRPr="00EF3F5D">
        <w:rPr>
          <w:rFonts w:eastAsiaTheme="minorHAnsi" w:hint="eastAsia"/>
        </w:rPr>
        <w:t>と</w:t>
      </w:r>
      <w:r w:rsidRPr="00EF3F5D">
        <w:rPr>
          <w:rFonts w:eastAsiaTheme="minorHAnsi"/>
        </w:rPr>
        <w:t>っていない点を強調した。UKIMが特に懸念を示したのは、福祉改革の影響である。具体的には、障害者生活支援金（Personal Independence Payment, PIP）や住宅手当の変更が、障害者の自立生活や社会参加に対して深刻な障害となっていると指摘した。また、独立生活基金（Independent Living Fund）の終了も大きな問題として挙げており、これらの改革が障害者の権利を侵害していると主張している。</w:t>
      </w:r>
    </w:p>
    <w:p w14:paraId="5C3C7F3C" w14:textId="57F7B313" w:rsidR="00EF3F5D" w:rsidRPr="00EF3F5D" w:rsidRDefault="00EF3F5D" w:rsidP="00C7456F">
      <w:pPr>
        <w:pStyle w:val="1"/>
        <w:numPr>
          <w:ilvl w:val="0"/>
          <w:numId w:val="37"/>
        </w:numPr>
      </w:pPr>
      <w:r w:rsidRPr="00EF3F5D">
        <w:t>対日審査への障害者政策委員会の関与</w:t>
      </w:r>
    </w:p>
    <w:p w14:paraId="17EA0E58" w14:textId="17EE3DCD" w:rsidR="00EF3F5D" w:rsidRPr="00EF3F5D" w:rsidRDefault="0088267F" w:rsidP="004A0B15">
      <w:pPr>
        <w:ind w:firstLineChars="100" w:firstLine="210"/>
        <w:jc w:val="left"/>
        <w:rPr>
          <w:rFonts w:eastAsiaTheme="minorHAnsi"/>
        </w:rPr>
      </w:pPr>
      <w:r>
        <w:rPr>
          <w:rFonts w:eastAsiaTheme="minorHAnsi" w:hint="eastAsia"/>
        </w:rPr>
        <w:t>障害者</w:t>
      </w:r>
      <w:r w:rsidR="00EF3F5D" w:rsidRPr="00EF3F5D">
        <w:rPr>
          <w:rFonts w:eastAsiaTheme="minorHAnsi" w:hint="eastAsia"/>
        </w:rPr>
        <w:t>政策委員会は、</w:t>
      </w:r>
      <w:r>
        <w:rPr>
          <w:rFonts w:eastAsiaTheme="minorHAnsi" w:hint="eastAsia"/>
        </w:rPr>
        <w:t>障害者</w:t>
      </w:r>
      <w:r w:rsidR="00EF3F5D" w:rsidRPr="00EF3F5D">
        <w:rPr>
          <w:rFonts w:eastAsiaTheme="minorHAnsi" w:hint="eastAsia"/>
        </w:rPr>
        <w:t>権利条約批准時に「障害者基本計画の実施の監視を通じて」という限定付きで独立した監視枠組みに指定された。平成</w:t>
      </w:r>
      <w:r w:rsidR="00EF3F5D" w:rsidRPr="00EF3F5D">
        <w:rPr>
          <w:rFonts w:eastAsiaTheme="minorHAnsi"/>
        </w:rPr>
        <w:t>25年12月3日の国会では、政府が「障害者基本計画の監視を通じて、障害者政策委員会が国内実施状況の監視を行う」と答弁した。これにより、政策委員会の監視範囲は権利条約が求める独立した監視枠組みの一部に限られることが示唆された。</w:t>
      </w:r>
    </w:p>
    <w:p w14:paraId="09350EE1" w14:textId="77777777" w:rsidR="00EF3F5D" w:rsidRPr="00EF3F5D" w:rsidRDefault="00EF3F5D" w:rsidP="004A0B15">
      <w:pPr>
        <w:ind w:firstLineChars="100" w:firstLine="210"/>
        <w:jc w:val="left"/>
        <w:rPr>
          <w:rFonts w:eastAsiaTheme="minorHAnsi"/>
        </w:rPr>
      </w:pPr>
      <w:r w:rsidRPr="00EF3F5D">
        <w:rPr>
          <w:rFonts w:eastAsiaTheme="minorHAnsi" w:hint="eastAsia"/>
        </w:rPr>
        <w:t>筆者は委員長として政策委員会が初回報告で独立した監視枠組みとして報告を行うべきと主張し、第二期の政策委員会は実施の監視をまとめた。初回報告には政策委員会の意見が含まれたが、特に第</w:t>
      </w:r>
      <w:r w:rsidRPr="00EF3F5D">
        <w:rPr>
          <w:rFonts w:eastAsiaTheme="minorHAnsi"/>
        </w:rPr>
        <w:t>6条、第19条、第21条、第24条、第33条に関する見解は不十分であり、意見の相違や共通認識の欠如が原因であった。</w:t>
      </w:r>
    </w:p>
    <w:p w14:paraId="53887719" w14:textId="531777FA" w:rsidR="00EF3F5D" w:rsidRPr="00EF3F5D" w:rsidRDefault="00EF3F5D" w:rsidP="0088267F">
      <w:pPr>
        <w:ind w:firstLineChars="100" w:firstLine="210"/>
        <w:jc w:val="left"/>
        <w:rPr>
          <w:rFonts w:eastAsiaTheme="minorHAnsi"/>
        </w:rPr>
      </w:pPr>
      <w:r w:rsidRPr="00EF3F5D">
        <w:rPr>
          <w:rFonts w:eastAsiaTheme="minorHAnsi" w:hint="eastAsia"/>
        </w:rPr>
        <w:t>初回審査の大幅遅延により筆者は政策委員会の見解更新が必要と主張し、</w:t>
      </w:r>
      <w:r w:rsidRPr="00EF3F5D">
        <w:rPr>
          <w:rFonts w:eastAsiaTheme="minorHAnsi"/>
        </w:rPr>
        <w:t>2022年、委員会は半年をかけて見解をまとめ提出した。また筆者は、建設的対話において5分間の冒頭発言(opening remarks)の機会を得た。知的障害者などの法的行為能力を制限する成年後見制度から法的行為を支援する支援付き自己決定制度への改革が検討されていないこと、精神障害者の非自発的入院と緊急手段でも最終手段でもない身体拘束をなくすためのロードマップが策定されていないこと、特別支援学校と特別支援学級に在籍する児童生徒が引き続き増加</w:t>
      </w:r>
      <w:r w:rsidRPr="00EF3F5D">
        <w:rPr>
          <w:rFonts w:eastAsiaTheme="minorHAnsi" w:hint="eastAsia"/>
        </w:rPr>
        <w:t>しており分離教育から障害のある児童とない児童が一緒に学ぶインクルーシブ教育へのパラダイムシフトが進んでいないこと</w:t>
      </w:r>
      <w:r w:rsidR="00550B07">
        <w:rPr>
          <w:rFonts w:eastAsiaTheme="minorHAnsi" w:hint="eastAsia"/>
        </w:rPr>
        <w:t>、</w:t>
      </w:r>
      <w:r w:rsidRPr="00EF3F5D">
        <w:rPr>
          <w:rFonts w:eastAsiaTheme="minorHAnsi" w:hint="eastAsia"/>
        </w:rPr>
        <w:t>を主要な懸念事項として指摘した。</w:t>
      </w:r>
    </w:p>
    <w:p w14:paraId="074EC4D2" w14:textId="020D765E" w:rsidR="00EF3F5D" w:rsidRPr="00EF3F5D" w:rsidRDefault="00EF3F5D" w:rsidP="00550B07">
      <w:pPr>
        <w:ind w:firstLineChars="100" w:firstLine="210"/>
        <w:jc w:val="left"/>
        <w:rPr>
          <w:rFonts w:eastAsiaTheme="minorHAnsi"/>
        </w:rPr>
      </w:pPr>
      <w:r w:rsidRPr="00EF3F5D">
        <w:rPr>
          <w:rFonts w:eastAsiaTheme="minorHAnsi" w:hint="eastAsia"/>
        </w:rPr>
        <w:t>行政機関が条約機関の審査で懸念を示すのは前例がないが、これは独立した監視が機能していることを示すものである。</w:t>
      </w:r>
    </w:p>
    <w:p w14:paraId="73E16E4C" w14:textId="55B8DEBC" w:rsidR="00EF3F5D" w:rsidRPr="00EF3F5D" w:rsidRDefault="00EF3F5D" w:rsidP="00C7456F">
      <w:pPr>
        <w:pStyle w:val="1"/>
        <w:numPr>
          <w:ilvl w:val="0"/>
          <w:numId w:val="37"/>
        </w:numPr>
      </w:pPr>
      <w:r w:rsidRPr="00EF3F5D">
        <w:t>日本では</w:t>
      </w:r>
      <w:r w:rsidR="00B34F25">
        <w:rPr>
          <w:rFonts w:hint="eastAsia"/>
        </w:rPr>
        <w:t>なぜ</w:t>
      </w:r>
      <w:r w:rsidRPr="00EF3F5D">
        <w:t>国内人権機関</w:t>
      </w:r>
      <w:r w:rsidR="00B34F25">
        <w:rPr>
          <w:rFonts w:hint="eastAsia"/>
        </w:rPr>
        <w:t>ができないのか</w:t>
      </w:r>
    </w:p>
    <w:p w14:paraId="2A515ACA" w14:textId="142ED242" w:rsidR="00EF3F5D" w:rsidRPr="004A0B15" w:rsidRDefault="00EF3F5D" w:rsidP="004A0B15">
      <w:pPr>
        <w:pStyle w:val="a9"/>
        <w:numPr>
          <w:ilvl w:val="0"/>
          <w:numId w:val="33"/>
        </w:numPr>
        <w:jc w:val="left"/>
        <w:rPr>
          <w:rFonts w:eastAsiaTheme="minorHAnsi"/>
        </w:rPr>
      </w:pPr>
      <w:r w:rsidRPr="004A0B15">
        <w:rPr>
          <w:rFonts w:eastAsiaTheme="minorHAnsi"/>
        </w:rPr>
        <w:t>国内人権機関設置の議論の経緯</w:t>
      </w:r>
    </w:p>
    <w:p w14:paraId="0E14B08E" w14:textId="77777777" w:rsidR="00EF3F5D" w:rsidRPr="00EF3F5D" w:rsidRDefault="00EF3F5D" w:rsidP="004A0B15">
      <w:pPr>
        <w:ind w:firstLineChars="100" w:firstLine="210"/>
        <w:jc w:val="left"/>
        <w:rPr>
          <w:rFonts w:eastAsiaTheme="minorHAnsi"/>
        </w:rPr>
      </w:pPr>
      <w:r w:rsidRPr="00EF3F5D">
        <w:rPr>
          <w:rFonts w:eastAsiaTheme="minorHAnsi" w:hint="eastAsia"/>
        </w:rPr>
        <w:t>日本では、</w:t>
      </w:r>
      <w:r w:rsidRPr="00EF3F5D">
        <w:rPr>
          <w:rFonts w:eastAsiaTheme="minorHAnsi"/>
        </w:rPr>
        <w:t>1990年代から国内人権機関の設置が議論され、特に2002年の人権擁護法案の提出が大きな動きであった。この法案は、独立した国内人権機関として「人権委員会」を設置することを提案していた。しかし、人権侵害の調査権限や報道機関に対する規制に対する反発が強く、最終的に成立には至らなかった。その後も法案が検討されたが、具体</w:t>
      </w:r>
      <w:r w:rsidRPr="00EF3F5D">
        <w:rPr>
          <w:rFonts w:eastAsiaTheme="minorHAnsi"/>
        </w:rPr>
        <w:lastRenderedPageBreak/>
        <w:t>的な進展は見られなかった。</w:t>
      </w:r>
    </w:p>
    <w:p w14:paraId="293E8F4D" w14:textId="5C9FF895" w:rsidR="00EF3F5D" w:rsidRPr="004A0B15" w:rsidRDefault="00EF3F5D" w:rsidP="004A0B15">
      <w:pPr>
        <w:pStyle w:val="a9"/>
        <w:numPr>
          <w:ilvl w:val="0"/>
          <w:numId w:val="33"/>
        </w:numPr>
        <w:jc w:val="left"/>
        <w:rPr>
          <w:rFonts w:eastAsiaTheme="minorHAnsi"/>
        </w:rPr>
      </w:pPr>
      <w:r w:rsidRPr="004A0B15">
        <w:rPr>
          <w:rFonts w:eastAsiaTheme="minorHAnsi"/>
        </w:rPr>
        <w:t>国際社会からの要請</w:t>
      </w:r>
    </w:p>
    <w:p w14:paraId="5132405A" w14:textId="29C58DD5" w:rsidR="00EF3F5D" w:rsidRPr="00EF3F5D" w:rsidRDefault="00EF3F5D" w:rsidP="004A0B15">
      <w:pPr>
        <w:ind w:firstLineChars="100" w:firstLine="210"/>
        <w:jc w:val="left"/>
        <w:rPr>
          <w:rFonts w:eastAsiaTheme="minorHAnsi"/>
        </w:rPr>
      </w:pPr>
      <w:r w:rsidRPr="00EF3F5D">
        <w:rPr>
          <w:rFonts w:eastAsiaTheme="minorHAnsi" w:hint="eastAsia"/>
        </w:rPr>
        <w:t>日本が批准している国際人権条約に基づき、国連をはじめとする国際社会は、日本に対して国内人権機関の設置を強く要請している。特に、国連人権理事会の普遍的定期審査（</w:t>
      </w:r>
      <w:r w:rsidRPr="00EF3F5D">
        <w:rPr>
          <w:rFonts w:eastAsiaTheme="minorHAnsi"/>
        </w:rPr>
        <w:t>UPR）や国連人権委員会などは、日本がパリ原則に基づく独立した国内人権機関を設置することを勧告している。</w:t>
      </w:r>
      <w:r w:rsidRPr="00EF3F5D">
        <w:rPr>
          <w:rFonts w:eastAsiaTheme="minorHAnsi" w:hint="eastAsia"/>
        </w:rPr>
        <w:t>また、障害者権利条約（</w:t>
      </w:r>
      <w:r w:rsidRPr="00EF3F5D">
        <w:rPr>
          <w:rFonts w:eastAsiaTheme="minorHAnsi"/>
        </w:rPr>
        <w:t>CRPD）においても、日本は国内監視枠組みの独立性が不十分であるとの指摘を受け、国内人権機関の設置が求められている。日本では、障害者政策委員会が条約の監視を担っているが、これは「完全に独立した」機関ではなく、政府の一部としての機能に限られている。</w:t>
      </w:r>
    </w:p>
    <w:p w14:paraId="751F8377" w14:textId="5CF0589A" w:rsidR="00EF3F5D" w:rsidRPr="004A0B15" w:rsidRDefault="00EF3F5D" w:rsidP="004A0B15">
      <w:pPr>
        <w:pStyle w:val="a9"/>
        <w:numPr>
          <w:ilvl w:val="0"/>
          <w:numId w:val="33"/>
        </w:numPr>
        <w:jc w:val="left"/>
        <w:rPr>
          <w:rFonts w:eastAsiaTheme="minorHAnsi"/>
        </w:rPr>
      </w:pPr>
      <w:r w:rsidRPr="004A0B15">
        <w:rPr>
          <w:rFonts w:eastAsiaTheme="minorHAnsi"/>
        </w:rPr>
        <w:t>設置の障害</w:t>
      </w:r>
    </w:p>
    <w:p w14:paraId="715D163A" w14:textId="5FC4BE06" w:rsidR="00EF3F5D" w:rsidRPr="00DE4095" w:rsidRDefault="00EF3F5D" w:rsidP="008C74F7">
      <w:pPr>
        <w:ind w:firstLineChars="100" w:firstLine="210"/>
        <w:jc w:val="left"/>
        <w:rPr>
          <w:rFonts w:eastAsiaTheme="minorHAnsi"/>
        </w:rPr>
      </w:pPr>
      <w:r w:rsidRPr="00EF3F5D">
        <w:rPr>
          <w:rFonts w:eastAsiaTheme="minorHAnsi" w:hint="eastAsia"/>
        </w:rPr>
        <w:t>国内人権機関設置の議論が進まない背景には、以下の政治的、社会的要因が存在する。</w:t>
      </w:r>
      <w:r w:rsidRPr="008C74F7">
        <w:rPr>
          <w:rFonts w:eastAsiaTheme="minorHAnsi"/>
        </w:rPr>
        <w:t>保守的な勢力からは、国内人権機関が政府</w:t>
      </w:r>
      <w:r w:rsidR="008C74F7" w:rsidRPr="008C74F7">
        <w:rPr>
          <w:rFonts w:eastAsiaTheme="minorHAnsi" w:hint="eastAsia"/>
        </w:rPr>
        <w:t>の行動を</w:t>
      </w:r>
      <w:r w:rsidRPr="008C74F7">
        <w:rPr>
          <w:rFonts w:eastAsiaTheme="minorHAnsi"/>
        </w:rPr>
        <w:t>過度に監視するとの懸念が強い。</w:t>
      </w:r>
      <w:r w:rsidR="008C74F7" w:rsidRPr="008C74F7">
        <w:rPr>
          <w:rFonts w:eastAsiaTheme="minorHAnsi" w:hint="eastAsia"/>
        </w:rPr>
        <w:t>特に、</w:t>
      </w:r>
      <w:r w:rsidRPr="008C74F7">
        <w:rPr>
          <w:rFonts w:eastAsiaTheme="minorHAnsi"/>
        </w:rPr>
        <w:t>警察・行政に対する調査権限については慎重な</w:t>
      </w:r>
      <w:r w:rsidR="008C74F7">
        <w:rPr>
          <w:rFonts w:eastAsiaTheme="minorHAnsi" w:hint="eastAsia"/>
        </w:rPr>
        <w:t>姿勢をとっている</w:t>
      </w:r>
      <w:r w:rsidRPr="008C74F7">
        <w:rPr>
          <w:rFonts w:eastAsiaTheme="minorHAnsi"/>
        </w:rPr>
        <w:t>。</w:t>
      </w:r>
      <w:r w:rsidR="008C74F7">
        <w:rPr>
          <w:rFonts w:eastAsiaTheme="minorHAnsi" w:hint="eastAsia"/>
        </w:rPr>
        <w:t>メディアからは、報道の自由が制約されるのではないかとの懸念が示されてきた。また、</w:t>
      </w:r>
      <w:r w:rsidRPr="00DE4095">
        <w:rPr>
          <w:rFonts w:eastAsiaTheme="minorHAnsi"/>
        </w:rPr>
        <w:t>国内人権機関の必要性や役割について、一般の理解が進んでおらず、</w:t>
      </w:r>
      <w:r w:rsidR="00DC4509">
        <w:rPr>
          <w:rFonts w:eastAsiaTheme="minorHAnsi" w:hint="eastAsia"/>
        </w:rPr>
        <w:t>世論の</w:t>
      </w:r>
      <w:r w:rsidRPr="00DE4095">
        <w:rPr>
          <w:rFonts w:eastAsiaTheme="minorHAnsi"/>
        </w:rPr>
        <w:t>強い支持を得るに至っていない。</w:t>
      </w:r>
    </w:p>
    <w:p w14:paraId="4D3CFD13" w14:textId="4D9193AB" w:rsidR="00EF3F5D" w:rsidRPr="004A0B15" w:rsidRDefault="00EF3F5D" w:rsidP="004A0B15">
      <w:pPr>
        <w:pStyle w:val="a9"/>
        <w:numPr>
          <w:ilvl w:val="0"/>
          <w:numId w:val="33"/>
        </w:numPr>
        <w:jc w:val="left"/>
        <w:rPr>
          <w:rFonts w:eastAsiaTheme="minorHAnsi"/>
        </w:rPr>
      </w:pPr>
      <w:r w:rsidRPr="004A0B15">
        <w:rPr>
          <w:rFonts w:eastAsiaTheme="minorHAnsi"/>
        </w:rPr>
        <w:t>今後の展望</w:t>
      </w:r>
    </w:p>
    <w:p w14:paraId="7385CF6B" w14:textId="6A8A0A5D" w:rsidR="00EF3F5D" w:rsidRPr="00EF3F5D" w:rsidRDefault="00EF3F5D" w:rsidP="004A0B15">
      <w:pPr>
        <w:ind w:firstLineChars="100" w:firstLine="210"/>
        <w:jc w:val="left"/>
        <w:rPr>
          <w:rFonts w:eastAsiaTheme="minorHAnsi"/>
        </w:rPr>
      </w:pPr>
      <w:r w:rsidRPr="00EF3F5D">
        <w:rPr>
          <w:rFonts w:eastAsiaTheme="minorHAnsi" w:hint="eastAsia"/>
        </w:rPr>
        <w:t>日本における国内人権機関の設置は、国際的な人権基準に照らしても重要な課題であり、国連や他国からの要請が続いている中で、今後も議論が進展する可能性がある。特に、国際条約の履行に関しては、日本国内の人権状況改善を求める声が強まりつつあり、国内外の人権機関や市民団体がその必要性を訴えている。</w:t>
      </w:r>
    </w:p>
    <w:sectPr w:rsidR="00EF3F5D" w:rsidRPr="00EF3F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435"/>
    <w:multiLevelType w:val="hybridMultilevel"/>
    <w:tmpl w:val="11902550"/>
    <w:lvl w:ilvl="0" w:tplc="91805C12">
      <w:start w:val="1"/>
      <w:numFmt w:val="bullet"/>
      <w:lvlText w:val="・"/>
      <w:lvlJc w:val="left"/>
      <w:pPr>
        <w:ind w:left="709" w:hanging="440"/>
      </w:pPr>
      <w:rPr>
        <w:rFonts w:ascii="游明朝" w:eastAsia="游明朝" w:hAnsi="游明朝" w:cstheme="minorBidi" w:hint="eastAsia"/>
      </w:rPr>
    </w:lvl>
    <w:lvl w:ilvl="1" w:tplc="0409000B" w:tentative="1">
      <w:start w:val="1"/>
      <w:numFmt w:val="bullet"/>
      <w:lvlText w:val=""/>
      <w:lvlJc w:val="left"/>
      <w:pPr>
        <w:ind w:left="1149" w:hanging="440"/>
      </w:pPr>
      <w:rPr>
        <w:rFonts w:ascii="Wingdings" w:hAnsi="Wingdings" w:hint="default"/>
      </w:rPr>
    </w:lvl>
    <w:lvl w:ilvl="2" w:tplc="0409000D" w:tentative="1">
      <w:start w:val="1"/>
      <w:numFmt w:val="bullet"/>
      <w:lvlText w:val=""/>
      <w:lvlJc w:val="left"/>
      <w:pPr>
        <w:ind w:left="1589" w:hanging="440"/>
      </w:pPr>
      <w:rPr>
        <w:rFonts w:ascii="Wingdings" w:hAnsi="Wingdings" w:hint="default"/>
      </w:rPr>
    </w:lvl>
    <w:lvl w:ilvl="3" w:tplc="04090001" w:tentative="1">
      <w:start w:val="1"/>
      <w:numFmt w:val="bullet"/>
      <w:lvlText w:val=""/>
      <w:lvlJc w:val="left"/>
      <w:pPr>
        <w:ind w:left="2029" w:hanging="440"/>
      </w:pPr>
      <w:rPr>
        <w:rFonts w:ascii="Wingdings" w:hAnsi="Wingdings" w:hint="default"/>
      </w:rPr>
    </w:lvl>
    <w:lvl w:ilvl="4" w:tplc="0409000B" w:tentative="1">
      <w:start w:val="1"/>
      <w:numFmt w:val="bullet"/>
      <w:lvlText w:val=""/>
      <w:lvlJc w:val="left"/>
      <w:pPr>
        <w:ind w:left="2469" w:hanging="440"/>
      </w:pPr>
      <w:rPr>
        <w:rFonts w:ascii="Wingdings" w:hAnsi="Wingdings" w:hint="default"/>
      </w:rPr>
    </w:lvl>
    <w:lvl w:ilvl="5" w:tplc="0409000D" w:tentative="1">
      <w:start w:val="1"/>
      <w:numFmt w:val="bullet"/>
      <w:lvlText w:val=""/>
      <w:lvlJc w:val="left"/>
      <w:pPr>
        <w:ind w:left="2909" w:hanging="440"/>
      </w:pPr>
      <w:rPr>
        <w:rFonts w:ascii="Wingdings" w:hAnsi="Wingdings" w:hint="default"/>
      </w:rPr>
    </w:lvl>
    <w:lvl w:ilvl="6" w:tplc="04090001" w:tentative="1">
      <w:start w:val="1"/>
      <w:numFmt w:val="bullet"/>
      <w:lvlText w:val=""/>
      <w:lvlJc w:val="left"/>
      <w:pPr>
        <w:ind w:left="3349" w:hanging="440"/>
      </w:pPr>
      <w:rPr>
        <w:rFonts w:ascii="Wingdings" w:hAnsi="Wingdings" w:hint="default"/>
      </w:rPr>
    </w:lvl>
    <w:lvl w:ilvl="7" w:tplc="0409000B" w:tentative="1">
      <w:start w:val="1"/>
      <w:numFmt w:val="bullet"/>
      <w:lvlText w:val=""/>
      <w:lvlJc w:val="left"/>
      <w:pPr>
        <w:ind w:left="3789" w:hanging="440"/>
      </w:pPr>
      <w:rPr>
        <w:rFonts w:ascii="Wingdings" w:hAnsi="Wingdings" w:hint="default"/>
      </w:rPr>
    </w:lvl>
    <w:lvl w:ilvl="8" w:tplc="0409000D" w:tentative="1">
      <w:start w:val="1"/>
      <w:numFmt w:val="bullet"/>
      <w:lvlText w:val=""/>
      <w:lvlJc w:val="left"/>
      <w:pPr>
        <w:ind w:left="4229" w:hanging="440"/>
      </w:pPr>
      <w:rPr>
        <w:rFonts w:ascii="Wingdings" w:hAnsi="Wingdings" w:hint="default"/>
      </w:rPr>
    </w:lvl>
  </w:abstractNum>
  <w:abstractNum w:abstractNumId="1" w15:restartNumberingAfterBreak="0">
    <w:nsid w:val="09471E20"/>
    <w:multiLevelType w:val="hybridMultilevel"/>
    <w:tmpl w:val="C43A605A"/>
    <w:lvl w:ilvl="0" w:tplc="943A1D58">
      <w:start w:val="6"/>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4A0E4D"/>
    <w:multiLevelType w:val="hybridMultilevel"/>
    <w:tmpl w:val="369A2A84"/>
    <w:lvl w:ilvl="0" w:tplc="296C8D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23A75"/>
    <w:multiLevelType w:val="hybridMultilevel"/>
    <w:tmpl w:val="A9B04BF8"/>
    <w:lvl w:ilvl="0" w:tplc="91805C1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73499B"/>
    <w:multiLevelType w:val="hybridMultilevel"/>
    <w:tmpl w:val="12DCFA1E"/>
    <w:lvl w:ilvl="0" w:tplc="0409000F">
      <w:start w:val="1"/>
      <w:numFmt w:val="decimal"/>
      <w:lvlText w:val="%1."/>
      <w:lvlJc w:val="left"/>
      <w:pPr>
        <w:ind w:left="548" w:hanging="440"/>
      </w:p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5" w15:restartNumberingAfterBreak="0">
    <w:nsid w:val="17EA14EA"/>
    <w:multiLevelType w:val="hybridMultilevel"/>
    <w:tmpl w:val="B2FC0D68"/>
    <w:lvl w:ilvl="0" w:tplc="1090B770">
      <w:start w:val="1"/>
      <w:numFmt w:val="decimal"/>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6" w15:restartNumberingAfterBreak="0">
    <w:nsid w:val="1A2B0B8B"/>
    <w:multiLevelType w:val="hybridMultilevel"/>
    <w:tmpl w:val="07080CE0"/>
    <w:lvl w:ilvl="0" w:tplc="7CEE4CA8">
      <w:start w:val="1"/>
      <w:numFmt w:val="decimal"/>
      <w:lvlText w:val="%1."/>
      <w:lvlJc w:val="left"/>
      <w:pPr>
        <w:ind w:left="468" w:hanging="360"/>
      </w:pPr>
      <w:rPr>
        <w:rFonts w:hint="eastAsia"/>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7" w15:restartNumberingAfterBreak="0">
    <w:nsid w:val="1CC8662A"/>
    <w:multiLevelType w:val="hybridMultilevel"/>
    <w:tmpl w:val="3A484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DE51B97"/>
    <w:multiLevelType w:val="hybridMultilevel"/>
    <w:tmpl w:val="AB2EB60E"/>
    <w:lvl w:ilvl="0" w:tplc="A790E76C">
      <w:start w:val="1"/>
      <w:numFmt w:val="decimal"/>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9" w15:restartNumberingAfterBreak="0">
    <w:nsid w:val="26706217"/>
    <w:multiLevelType w:val="multilevel"/>
    <w:tmpl w:val="0A4C6D3A"/>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8AD3A30"/>
    <w:multiLevelType w:val="hybridMultilevel"/>
    <w:tmpl w:val="4B5A4814"/>
    <w:lvl w:ilvl="0" w:tplc="6608C78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0B7F4D"/>
    <w:multiLevelType w:val="hybridMultilevel"/>
    <w:tmpl w:val="65FE196C"/>
    <w:lvl w:ilvl="0" w:tplc="296C8D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8B29E5"/>
    <w:multiLevelType w:val="hybridMultilevel"/>
    <w:tmpl w:val="D22C6102"/>
    <w:lvl w:ilvl="0" w:tplc="D2B64952">
      <w:start w:val="1"/>
      <w:numFmt w:val="decimal"/>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3" w15:restartNumberingAfterBreak="0">
    <w:nsid w:val="36DF3B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81E03B2"/>
    <w:multiLevelType w:val="hybridMultilevel"/>
    <w:tmpl w:val="3BC4206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8E6170A"/>
    <w:multiLevelType w:val="hybridMultilevel"/>
    <w:tmpl w:val="2C121AE0"/>
    <w:lvl w:ilvl="0" w:tplc="FEB2941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B0B61C6"/>
    <w:multiLevelType w:val="hybridMultilevel"/>
    <w:tmpl w:val="9C841CF6"/>
    <w:lvl w:ilvl="0" w:tplc="2A5EB014">
      <w:start w:val="1"/>
      <w:numFmt w:val="decimal"/>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7" w15:restartNumberingAfterBreak="0">
    <w:nsid w:val="3CAD7FE5"/>
    <w:multiLevelType w:val="hybridMultilevel"/>
    <w:tmpl w:val="4600D016"/>
    <w:lvl w:ilvl="0" w:tplc="9606EF0A">
      <w:start w:val="1"/>
      <w:numFmt w:val="decimal"/>
      <w:pStyle w:val="1"/>
      <w:lvlText w:val="%1."/>
      <w:lvlJc w:val="left"/>
      <w:pPr>
        <w:ind w:left="440" w:hanging="440"/>
      </w:pPr>
    </w:lvl>
    <w:lvl w:ilvl="1" w:tplc="F8324984">
      <w:start w:val="1"/>
      <w:numFmt w:val="bullet"/>
      <w:lvlText w:val=""/>
      <w:lvlJc w:val="left"/>
      <w:pPr>
        <w:ind w:left="440" w:hanging="440"/>
      </w:pPr>
      <w:rPr>
        <w:rFonts w:ascii="Wingdings" w:hAnsi="Wingding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1120CA"/>
    <w:multiLevelType w:val="hybridMultilevel"/>
    <w:tmpl w:val="384E8922"/>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9" w15:restartNumberingAfterBreak="0">
    <w:nsid w:val="431D65D9"/>
    <w:multiLevelType w:val="hybridMultilevel"/>
    <w:tmpl w:val="F0DA7DB4"/>
    <w:lvl w:ilvl="0" w:tplc="D76E11C4">
      <w:start w:val="1"/>
      <w:numFmt w:val="decimal"/>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20" w15:restartNumberingAfterBreak="0">
    <w:nsid w:val="464470B0"/>
    <w:multiLevelType w:val="hybridMultilevel"/>
    <w:tmpl w:val="DAC0B9FC"/>
    <w:lvl w:ilvl="0" w:tplc="A32AE9B8">
      <w:start w:val="1"/>
      <w:numFmt w:val="decimal"/>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21" w15:restartNumberingAfterBreak="0">
    <w:nsid w:val="46A60FCA"/>
    <w:multiLevelType w:val="hybridMultilevel"/>
    <w:tmpl w:val="9D1E0C9A"/>
    <w:lvl w:ilvl="0" w:tplc="296C8D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D9147F"/>
    <w:multiLevelType w:val="hybridMultilevel"/>
    <w:tmpl w:val="4A087C02"/>
    <w:lvl w:ilvl="0" w:tplc="AA3EBD9A">
      <w:start w:val="1"/>
      <w:numFmt w:val="decimal"/>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23" w15:restartNumberingAfterBreak="0">
    <w:nsid w:val="50366BAC"/>
    <w:multiLevelType w:val="multilevel"/>
    <w:tmpl w:val="0A4C6D3A"/>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6A8416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AC200DB"/>
    <w:multiLevelType w:val="hybridMultilevel"/>
    <w:tmpl w:val="5178D36A"/>
    <w:lvl w:ilvl="0" w:tplc="04090001">
      <w:start w:val="1"/>
      <w:numFmt w:val="bullet"/>
      <w:lvlText w:val=""/>
      <w:lvlJc w:val="left"/>
      <w:pPr>
        <w:ind w:left="440" w:hanging="440"/>
      </w:pPr>
      <w:rPr>
        <w:rFonts w:ascii="Wingdings" w:hAnsi="Wingdings" w:hint="default"/>
      </w:rPr>
    </w:lvl>
    <w:lvl w:ilvl="1" w:tplc="04090001">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EAA675D"/>
    <w:multiLevelType w:val="hybridMultilevel"/>
    <w:tmpl w:val="A78ACE16"/>
    <w:lvl w:ilvl="0" w:tplc="A5C86F42">
      <w:start w:val="1"/>
      <w:numFmt w:val="decimal"/>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27" w15:restartNumberingAfterBreak="0">
    <w:nsid w:val="5F050EDA"/>
    <w:multiLevelType w:val="hybridMultilevel"/>
    <w:tmpl w:val="FBEE5B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F074EA3"/>
    <w:multiLevelType w:val="hybridMultilevel"/>
    <w:tmpl w:val="89F03598"/>
    <w:lvl w:ilvl="0" w:tplc="754A2D2E">
      <w:start w:val="1"/>
      <w:numFmt w:val="decimal"/>
      <w:lvlText w:val="%1."/>
      <w:lvlJc w:val="left"/>
      <w:pPr>
        <w:ind w:left="865" w:hanging="44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9" w15:restartNumberingAfterBreak="0">
    <w:nsid w:val="658A2F9A"/>
    <w:multiLevelType w:val="hybridMultilevel"/>
    <w:tmpl w:val="FE6AB49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700E060E"/>
    <w:multiLevelType w:val="hybridMultilevel"/>
    <w:tmpl w:val="CEC6276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74B21395"/>
    <w:multiLevelType w:val="hybridMultilevel"/>
    <w:tmpl w:val="9416961C"/>
    <w:lvl w:ilvl="0" w:tplc="FEB2941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5627AA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773338E8"/>
    <w:multiLevelType w:val="hybridMultilevel"/>
    <w:tmpl w:val="EF9614A6"/>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7AFF5F4F"/>
    <w:multiLevelType w:val="hybridMultilevel"/>
    <w:tmpl w:val="EF3C72B4"/>
    <w:lvl w:ilvl="0" w:tplc="91805C12">
      <w:start w:val="1"/>
      <w:numFmt w:val="bullet"/>
      <w:lvlText w:val="・"/>
      <w:lvlJc w:val="left"/>
      <w:pPr>
        <w:ind w:left="570" w:hanging="360"/>
      </w:pPr>
      <w:rPr>
        <w:rFonts w:ascii="游明朝" w:eastAsia="游明朝" w:hAnsi="游明朝" w:cstheme="minorBidi" w:hint="eastAsia"/>
      </w:rPr>
    </w:lvl>
    <w:lvl w:ilvl="1" w:tplc="91805C12">
      <w:start w:val="1"/>
      <w:numFmt w:val="bullet"/>
      <w:lvlText w:val="・"/>
      <w:lvlJc w:val="left"/>
      <w:pPr>
        <w:ind w:left="1090" w:hanging="440"/>
      </w:pPr>
      <w:rPr>
        <w:rFonts w:ascii="游明朝" w:eastAsia="游明朝" w:hAnsi="游明朝" w:cstheme="minorBidi" w:hint="eastAsia"/>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5" w15:restartNumberingAfterBreak="0">
    <w:nsid w:val="7C16387F"/>
    <w:multiLevelType w:val="hybridMultilevel"/>
    <w:tmpl w:val="5218DA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47369266">
    <w:abstractNumId w:val="4"/>
  </w:num>
  <w:num w:numId="2" w16cid:durableId="2081831539">
    <w:abstractNumId w:val="5"/>
  </w:num>
  <w:num w:numId="3" w16cid:durableId="1091197401">
    <w:abstractNumId w:val="10"/>
  </w:num>
  <w:num w:numId="4" w16cid:durableId="1870289172">
    <w:abstractNumId w:val="16"/>
  </w:num>
  <w:num w:numId="5" w16cid:durableId="1885214492">
    <w:abstractNumId w:val="30"/>
  </w:num>
  <w:num w:numId="6" w16cid:durableId="789208179">
    <w:abstractNumId w:val="31"/>
  </w:num>
  <w:num w:numId="7" w16cid:durableId="75055806">
    <w:abstractNumId w:val="15"/>
  </w:num>
  <w:num w:numId="8" w16cid:durableId="1848055390">
    <w:abstractNumId w:val="22"/>
  </w:num>
  <w:num w:numId="9" w16cid:durableId="732238121">
    <w:abstractNumId w:val="32"/>
  </w:num>
  <w:num w:numId="10" w16cid:durableId="1502306335">
    <w:abstractNumId w:val="26"/>
  </w:num>
  <w:num w:numId="11" w16cid:durableId="955452145">
    <w:abstractNumId w:val="19"/>
  </w:num>
  <w:num w:numId="12" w16cid:durableId="1031103529">
    <w:abstractNumId w:val="24"/>
  </w:num>
  <w:num w:numId="13" w16cid:durableId="1137645336">
    <w:abstractNumId w:val="13"/>
  </w:num>
  <w:num w:numId="14" w16cid:durableId="2127892111">
    <w:abstractNumId w:val="18"/>
  </w:num>
  <w:num w:numId="15" w16cid:durableId="1621692495">
    <w:abstractNumId w:val="20"/>
  </w:num>
  <w:num w:numId="16" w16cid:durableId="1732844479">
    <w:abstractNumId w:val="9"/>
  </w:num>
  <w:num w:numId="17" w16cid:durableId="369107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710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95367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3699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2260338">
    <w:abstractNumId w:val="28"/>
  </w:num>
  <w:num w:numId="22" w16cid:durableId="1745907363">
    <w:abstractNumId w:val="28"/>
    <w:lvlOverride w:ilvl="0">
      <w:startOverride w:val="1"/>
    </w:lvlOverride>
  </w:num>
  <w:num w:numId="23" w16cid:durableId="1560942701">
    <w:abstractNumId w:val="23"/>
  </w:num>
  <w:num w:numId="24" w16cid:durableId="1768693430">
    <w:abstractNumId w:val="8"/>
  </w:num>
  <w:num w:numId="25" w16cid:durableId="312950485">
    <w:abstractNumId w:val="17"/>
  </w:num>
  <w:num w:numId="26" w16cid:durableId="1498040330">
    <w:abstractNumId w:val="12"/>
  </w:num>
  <w:num w:numId="27" w16cid:durableId="2133397027">
    <w:abstractNumId w:val="11"/>
  </w:num>
  <w:num w:numId="28" w16cid:durableId="1599873729">
    <w:abstractNumId w:val="2"/>
  </w:num>
  <w:num w:numId="29" w16cid:durableId="862980786">
    <w:abstractNumId w:val="21"/>
  </w:num>
  <w:num w:numId="30" w16cid:durableId="19136775">
    <w:abstractNumId w:val="7"/>
  </w:num>
  <w:num w:numId="31" w16cid:durableId="827479630">
    <w:abstractNumId w:val="34"/>
  </w:num>
  <w:num w:numId="32" w16cid:durableId="1648515649">
    <w:abstractNumId w:val="33"/>
  </w:num>
  <w:num w:numId="33" w16cid:durableId="682125730">
    <w:abstractNumId w:val="6"/>
  </w:num>
  <w:num w:numId="34" w16cid:durableId="562911127">
    <w:abstractNumId w:val="3"/>
  </w:num>
  <w:num w:numId="35" w16cid:durableId="1976139773">
    <w:abstractNumId w:val="29"/>
  </w:num>
  <w:num w:numId="36" w16cid:durableId="1761950815">
    <w:abstractNumId w:val="14"/>
  </w:num>
  <w:num w:numId="37" w16cid:durableId="196160087">
    <w:abstractNumId w:val="1"/>
  </w:num>
  <w:num w:numId="38" w16cid:durableId="284121269">
    <w:abstractNumId w:val="25"/>
  </w:num>
  <w:num w:numId="39" w16cid:durableId="1232813429">
    <w:abstractNumId w:val="27"/>
  </w:num>
  <w:num w:numId="40" w16cid:durableId="797145762">
    <w:abstractNumId w:val="35"/>
  </w:num>
  <w:num w:numId="41" w16cid:durableId="164476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7A"/>
    <w:rsid w:val="001A0274"/>
    <w:rsid w:val="001D1AE8"/>
    <w:rsid w:val="001F4D1A"/>
    <w:rsid w:val="00332B79"/>
    <w:rsid w:val="00412E2C"/>
    <w:rsid w:val="004627B3"/>
    <w:rsid w:val="004A0B15"/>
    <w:rsid w:val="00550B07"/>
    <w:rsid w:val="005C667A"/>
    <w:rsid w:val="00783264"/>
    <w:rsid w:val="007B5280"/>
    <w:rsid w:val="0088267F"/>
    <w:rsid w:val="00895DEE"/>
    <w:rsid w:val="008C74F7"/>
    <w:rsid w:val="00A55247"/>
    <w:rsid w:val="00B32804"/>
    <w:rsid w:val="00B34F25"/>
    <w:rsid w:val="00B66F36"/>
    <w:rsid w:val="00B76A68"/>
    <w:rsid w:val="00B8390A"/>
    <w:rsid w:val="00C7456F"/>
    <w:rsid w:val="00D22BA8"/>
    <w:rsid w:val="00D24FDA"/>
    <w:rsid w:val="00D30133"/>
    <w:rsid w:val="00D50D59"/>
    <w:rsid w:val="00D80C06"/>
    <w:rsid w:val="00DC4509"/>
    <w:rsid w:val="00DE4095"/>
    <w:rsid w:val="00EF3F5D"/>
    <w:rsid w:val="00FF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865951"/>
  <w15:chartTrackingRefBased/>
  <w15:docId w15:val="{F067D9FE-0616-4D83-A3A1-D017DCE8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456F"/>
    <w:pPr>
      <w:keepNext/>
      <w:keepLines/>
      <w:numPr>
        <w:numId w:val="25"/>
      </w:numPr>
      <w:spacing w:before="280" w:after="80"/>
      <w:outlineLvl w:val="0"/>
    </w:pPr>
    <w:rPr>
      <w:rFonts w:eastAsiaTheme="minorHAnsi" w:cstheme="majorBidi"/>
      <w:color w:val="000000" w:themeColor="text1"/>
      <w:sz w:val="24"/>
      <w:szCs w:val="24"/>
    </w:rPr>
  </w:style>
  <w:style w:type="paragraph" w:styleId="2">
    <w:name w:val="heading 2"/>
    <w:basedOn w:val="a"/>
    <w:next w:val="a"/>
    <w:link w:val="20"/>
    <w:uiPriority w:val="9"/>
    <w:unhideWhenUsed/>
    <w:qFormat/>
    <w:rsid w:val="004A0B15"/>
    <w:pPr>
      <w:keepNext/>
      <w:keepLines/>
      <w:spacing w:before="160" w:after="80"/>
      <w:outlineLvl w:val="1"/>
    </w:pPr>
    <w:rPr>
      <w:rFonts w:eastAsiaTheme="minorHAnsi" w:cstheme="majorBidi"/>
      <w:color w:val="000000" w:themeColor="text1"/>
      <w:sz w:val="24"/>
      <w:szCs w:val="24"/>
    </w:rPr>
  </w:style>
  <w:style w:type="paragraph" w:styleId="3">
    <w:name w:val="heading 3"/>
    <w:basedOn w:val="a"/>
    <w:next w:val="a"/>
    <w:link w:val="30"/>
    <w:uiPriority w:val="9"/>
    <w:unhideWhenUsed/>
    <w:qFormat/>
    <w:rsid w:val="005C667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66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66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66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66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66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66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456F"/>
    <w:rPr>
      <w:rFonts w:eastAsiaTheme="minorHAnsi" w:cstheme="majorBidi"/>
      <w:color w:val="000000" w:themeColor="text1"/>
      <w:sz w:val="24"/>
      <w:szCs w:val="24"/>
    </w:rPr>
  </w:style>
  <w:style w:type="character" w:customStyle="1" w:styleId="20">
    <w:name w:val="見出し 2 (文字)"/>
    <w:basedOn w:val="a0"/>
    <w:link w:val="2"/>
    <w:uiPriority w:val="9"/>
    <w:rsid w:val="00B66F36"/>
    <w:rPr>
      <w:rFonts w:eastAsiaTheme="minorHAnsi" w:cstheme="majorBidi"/>
      <w:color w:val="000000" w:themeColor="text1"/>
      <w:sz w:val="24"/>
      <w:szCs w:val="24"/>
    </w:rPr>
  </w:style>
  <w:style w:type="character" w:customStyle="1" w:styleId="30">
    <w:name w:val="見出し 3 (文字)"/>
    <w:basedOn w:val="a0"/>
    <w:link w:val="3"/>
    <w:uiPriority w:val="9"/>
    <w:rsid w:val="005C66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66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66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66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66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66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66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66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6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6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6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67A"/>
    <w:pPr>
      <w:spacing w:before="160" w:after="160"/>
      <w:jc w:val="center"/>
    </w:pPr>
    <w:rPr>
      <w:i/>
      <w:iCs/>
      <w:color w:val="404040" w:themeColor="text1" w:themeTint="BF"/>
    </w:rPr>
  </w:style>
  <w:style w:type="character" w:customStyle="1" w:styleId="a8">
    <w:name w:val="引用文 (文字)"/>
    <w:basedOn w:val="a0"/>
    <w:link w:val="a7"/>
    <w:uiPriority w:val="29"/>
    <w:rsid w:val="005C667A"/>
    <w:rPr>
      <w:i/>
      <w:iCs/>
      <w:color w:val="404040" w:themeColor="text1" w:themeTint="BF"/>
    </w:rPr>
  </w:style>
  <w:style w:type="paragraph" w:styleId="a9">
    <w:name w:val="List Paragraph"/>
    <w:basedOn w:val="a"/>
    <w:uiPriority w:val="34"/>
    <w:qFormat/>
    <w:rsid w:val="005C667A"/>
    <w:pPr>
      <w:ind w:left="720"/>
      <w:contextualSpacing/>
    </w:pPr>
  </w:style>
  <w:style w:type="character" w:styleId="21">
    <w:name w:val="Intense Emphasis"/>
    <w:basedOn w:val="a0"/>
    <w:uiPriority w:val="21"/>
    <w:qFormat/>
    <w:rsid w:val="005C667A"/>
    <w:rPr>
      <w:i/>
      <w:iCs/>
      <w:color w:val="0F4761" w:themeColor="accent1" w:themeShade="BF"/>
    </w:rPr>
  </w:style>
  <w:style w:type="paragraph" w:styleId="22">
    <w:name w:val="Intense Quote"/>
    <w:basedOn w:val="a"/>
    <w:next w:val="a"/>
    <w:link w:val="23"/>
    <w:uiPriority w:val="30"/>
    <w:qFormat/>
    <w:rsid w:val="005C6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667A"/>
    <w:rPr>
      <w:i/>
      <w:iCs/>
      <w:color w:val="0F4761" w:themeColor="accent1" w:themeShade="BF"/>
    </w:rPr>
  </w:style>
  <w:style w:type="character" w:styleId="24">
    <w:name w:val="Intense Reference"/>
    <w:basedOn w:val="a0"/>
    <w:uiPriority w:val="32"/>
    <w:qFormat/>
    <w:rsid w:val="005C66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准 石川</dc:creator>
  <cp:keywords/>
  <dc:description/>
  <cp:lastModifiedBy>裕子 田中</cp:lastModifiedBy>
  <cp:revision>16</cp:revision>
  <cp:lastPrinted>2024-10-05T04:23:00Z</cp:lastPrinted>
  <dcterms:created xsi:type="dcterms:W3CDTF">2024-10-05T02:12:00Z</dcterms:created>
  <dcterms:modified xsi:type="dcterms:W3CDTF">2024-10-05T06:37:00Z</dcterms:modified>
</cp:coreProperties>
</file>